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Design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2,722,754.00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2,722,754.00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2,722,754.00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Capital Advisors,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2,722,754.00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2,722,754.00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2,722,754.00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A. Cohen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2,722,754.00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2,722,754.00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2,722,754.00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6"/>
        <w:gridCol w:w="8904"/>
        <w:gridCol w:w="155"/>
      </w:tblGrid>
      <w:tr>
        <w:trPr/>
        <w:tc>
          <w:tcPr>
            <w:tcW w:w="1146" w:type="dxa"/>
            <w:tcBorders/>
            <w:vAlign w:val="center"/>
          </w:tcPr>
          <w:p>
            <w:pPr>
              <w:pStyle w:val="TableContents"/>
              <w:bidi w:val="0"/>
              <w:spacing w:before="0" w:after="283"/>
              <w:jc w:val="left"/>
              <w:rPr/>
            </w:pPr>
            <w:r>
              <w:rPr/>
              <w:t>Item 1.</w:t>
            </w:r>
          </w:p>
        </w:tc>
        <w:tc>
          <w:tcPr>
            <w:tcW w:w="89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Name of issuer: </w:t>
            </w:r>
          </w:p>
          <w:p>
            <w:pPr>
              <w:pStyle w:val="TableContents"/>
              <w:bidi w:val="0"/>
              <w:spacing w:before="0" w:after="0"/>
              <w:jc w:val="left"/>
              <w:rPr/>
            </w:pPr>
            <w:r>
              <w:rPr/>
              <w:t>Design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6005 Hidden Valley Road, Suite 110, Carlsbad, CA 92011</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2.</w:t>
            </w:r>
          </w:p>
        </w:tc>
        <w:tc>
          <w:tcPr>
            <w:tcW w:w="890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Point72 Asset Management, L.P. ("Point72 Asset Management") with respect to the shares of common stock, par value $0.0001 per share ("Shares"), of Design Therapeutics, Inc. held by an investment fund it manages; (ii) Point72 Capital Advisors, Inc. ("Point72 Capital Advisors Inc.") with respect to the Shares held by an investment fund managed by Point72 Asset Management; and (iii) Steven A. Cohen ("Mr. Cohen") with respect to the Shares beneficially owned by Point72 Asset Management and Point72 Capital Advisors Inc. Each of Cubist Systematic Strategies, LLC, Point72 (DIFC) Limited and Point72 Asia (Singapore) Pte. Ltd. are relying advisers on the Form ADV of Point72 Asset Management and each acts as a sub-advisor with respect to a portion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Point72 Asset Management, Point72 Capital Advisors Inc., and Mr. Cohen is 72 Cummings Point Road, Stamford, CT 06902.</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jc w:val="left"/>
              <w:rPr/>
            </w:pPr>
            <w:r>
              <w:rPr/>
              <w:t xml:space="preserve">Citizenship: </w:t>
            </w:r>
          </w:p>
          <w:p>
            <w:pPr>
              <w:pStyle w:val="TableContents"/>
              <w:bidi w:val="0"/>
              <w:spacing w:before="0" w:after="0"/>
              <w:jc w:val="left"/>
              <w:rPr/>
            </w:pPr>
            <w:r>
              <w:rPr/>
              <w:t>Point72 Asset Management is a Delaware limited partnership. Point72 Capital Advisors Inc. is a Delaware corporation. Mr. Cohen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(e)</w:t>
            </w:r>
          </w:p>
        </w:tc>
        <w:tc>
          <w:tcPr>
            <w:tcW w:w="890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3.</w:t>
            </w:r>
          </w:p>
        </w:tc>
        <w:tc>
          <w:tcPr>
            <w:tcW w:w="890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(d)</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(e)</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(f)</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(g)</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(h)</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(j)</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(k)</w:t>
            </w:r>
          </w:p>
        </w:tc>
        <w:tc>
          <w:tcPr>
            <w:tcW w:w="890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9059" w:type="dxa"/>
            <w:gridSpan w:val="2"/>
            <w:tcBorders/>
            <w:vAlign w:val="center"/>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4.</w:t>
            </w:r>
          </w:p>
        </w:tc>
        <w:tc>
          <w:tcPr>
            <w:tcW w:w="890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(a)</w:t>
            </w:r>
          </w:p>
        </w:tc>
        <w:tc>
          <w:tcPr>
            <w:tcW w:w="890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Such information is as of the close of business on March 31, 2026. Point72 Asset Management, Point72 Capital Advisors Inc., and Mr. Cohen own directly no Shares. Pursuant to an investment management agreement, Point72 Asset Management maintains investment and voting power with respect to the securities held by an investment fund it manages.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Securities Exchange Act of 1934,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(b)</w:t>
            </w:r>
          </w:p>
        </w:tc>
        <w:tc>
          <w:tcPr>
            <w:tcW w:w="890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4.4%  %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(c)</w:t>
            </w:r>
          </w:p>
        </w:tc>
        <w:tc>
          <w:tcPr>
            <w:tcW w:w="890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 Such information is as of the close of business on March 31,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 Such information is as of the close of business on March 31,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 Such information is as of the close of business on March 31,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 Such information is as of the close of business on March 31,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5.</w:t>
            </w:r>
          </w:p>
        </w:tc>
        <w:tc>
          <w:tcPr>
            <w:tcW w:w="890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6.</w:t>
            </w:r>
          </w:p>
        </w:tc>
        <w:tc>
          <w:tcPr>
            <w:tcW w:w="890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7.</w:t>
            </w:r>
          </w:p>
        </w:tc>
        <w:tc>
          <w:tcPr>
            <w:tcW w:w="890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8.</w:t>
            </w:r>
          </w:p>
        </w:tc>
        <w:tc>
          <w:tcPr>
            <w:tcW w:w="890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Item 9.</w:t>
            </w:r>
          </w:p>
        </w:tc>
        <w:tc>
          <w:tcPr>
            <w:tcW w:w="890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6" w:type="dxa"/>
            <w:tcBorders/>
            <w:vAlign w:val="center"/>
          </w:tcPr>
          <w:p>
            <w:pPr>
              <w:pStyle w:val="TableContents"/>
              <w:bidi w:val="0"/>
              <w:spacing w:before="0" w:after="283"/>
              <w:jc w:val="left"/>
              <w:rPr/>
            </w:pPr>
            <w:r>
              <w:rPr/>
              <w:t> </w:t>
            </w:r>
          </w:p>
        </w:tc>
        <w:tc>
          <w:tcPr>
            <w:tcW w:w="890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Point72 Asset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Point72 Capital Advisors,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Steven A. Cohen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1561</Words>
  <Characters>7949</Characters>
  <CharactersWithSpaces>9464</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