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November 4, 2026</w:t>
      </w:r>
    </w:p>
    <w:p>
      <w:pPr>
        <w:spacing w:after="0" w:line="1" w:lineRule="exact"/>
        <w:rPr>
          <w:sz w:val="24"/>
          <w:szCs w:val="24"/>
          <w:color w:val="auto"/>
        </w:rPr>
      </w:pPr>
    </w:p>
    <w:p>
      <w:pPr>
        <w:ind w:left="740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184150</wp:posOffset>
            </wp:positionH>
            <wp:positionV relativeFrom="paragraph">
              <wp:posOffset>41275</wp:posOffset>
            </wp:positionV>
            <wp:extent cx="535876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58765" cy="6350"/>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74295</wp:posOffset>
            </wp:positionV>
            <wp:extent cx="53587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58765" cy="6350"/>
                    </a:xfrm>
                    <a:prstGeom prst="rect">
                      <a:avLst/>
                    </a:prstGeom>
                    <a:noFill/>
                  </pic:spPr>
                </pic:pic>
              </a:graphicData>
            </a:graphic>
          </wp:anchor>
        </w:drawing>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172720</wp:posOffset>
            </wp:positionV>
            <wp:extent cx="11226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173355</wp:posOffset>
            </wp:positionV>
            <wp:extent cx="11226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Design Therapeutics, Inc.</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172720</wp:posOffset>
            </wp:positionV>
            <wp:extent cx="11226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ectPr>
          <w:pgSz w:w="11900" w:h="16838" w:orient="portrait"/>
          <w:cols w:equalWidth="0" w:num="1">
            <w:col w:w="9019"/>
          </w:cols>
          <w:pgMar w:left="1440" w:top="203" w:right="1440" w:bottom="1440" w:gutter="0" w:footer="0" w:header="0"/>
        </w:sectPr>
      </w:pPr>
    </w:p>
    <w:p>
      <w:pPr>
        <w:spacing w:after="0" w:line="200" w:lineRule="exact"/>
        <w:rPr>
          <w:sz w:val="24"/>
          <w:szCs w:val="24"/>
          <w:color w:val="auto"/>
        </w:rPr>
      </w:pPr>
    </w:p>
    <w:p>
      <w:pPr>
        <w:spacing w:after="0" w:line="270"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82-3929248</w:t>
      </w:r>
    </w:p>
    <w:p>
      <w:pPr>
        <w:spacing w:after="0" w:line="18" w:lineRule="exact"/>
        <w:rPr>
          <w:sz w:val="24"/>
          <w:szCs w:val="24"/>
          <w:color w:val="auto"/>
        </w:rPr>
      </w:pPr>
    </w:p>
    <w:p>
      <w:pPr>
        <w:sectPr>
          <w:pgSz w:w="11900" w:h="16838" w:orient="portrait"/>
          <w:cols w:equalWidth="0" w:num="2">
            <w:col w:w="5680" w:space="720"/>
            <w:col w:w="2619"/>
          </w:cols>
          <w:pgMar w:left="1440" w:top="203" w:right="1440"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8"/>
          <w:szCs w:val="8"/>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(I.R.S. Employer Identification Number)</w:t>
      </w:r>
    </w:p>
    <w:p>
      <w:pPr>
        <w:spacing w:after="0" w:line="146" w:lineRule="exact"/>
        <w:rPr>
          <w:sz w:val="24"/>
          <w:szCs w:val="24"/>
          <w:color w:val="auto"/>
        </w:rPr>
      </w:pPr>
    </w:p>
    <w:p>
      <w:pPr>
        <w:sectPr>
          <w:pgSz w:w="11900" w:h="16838" w:orient="portrait"/>
          <w:cols w:equalWidth="0" w:num="2">
            <w:col w:w="5120" w:space="720"/>
            <w:col w:w="3179"/>
          </w:cols>
          <w:pgMar w:left="1440" w:top="203"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6005 Hidden Valley Road, Suite 110</w:t>
      </w:r>
    </w:p>
    <w:p>
      <w:pPr>
        <w:jc w:val="center"/>
        <w:ind w:right="19"/>
        <w:spacing w:after="0" w:line="218" w:lineRule="auto"/>
        <w:rPr>
          <w:sz w:val="20"/>
          <w:szCs w:val="20"/>
          <w:color w:val="auto"/>
        </w:rPr>
      </w:pPr>
      <w:r>
        <w:rPr>
          <w:rFonts w:ascii="Times New Roman" w:cs="Times New Roman" w:eastAsia="Times New Roman" w:hAnsi="Times New Roman"/>
          <w:sz w:val="11"/>
          <w:szCs w:val="11"/>
          <w:b w:val="1"/>
          <w:bCs w:val="1"/>
          <w:color w:val="auto"/>
        </w:rPr>
        <w:t>Carlsbad, California 92011</w:t>
      </w:r>
    </w:p>
    <w:p>
      <w:pPr>
        <w:jc w:val="center"/>
        <w:ind w:right="19"/>
        <w:spacing w:after="0" w:line="219" w:lineRule="auto"/>
        <w:rPr>
          <w:sz w:val="20"/>
          <w:szCs w:val="20"/>
          <w:color w:val="auto"/>
        </w:rPr>
      </w:pPr>
      <w:r>
        <w:rPr>
          <w:rFonts w:ascii="Times New Roman" w:cs="Times New Roman" w:eastAsia="Times New Roman" w:hAnsi="Times New Roman"/>
          <w:sz w:val="11"/>
          <w:szCs w:val="11"/>
          <w:b w:val="1"/>
          <w:bCs w:val="1"/>
          <w:color w:val="auto"/>
        </w:rPr>
        <w:t>(858) 293-4900</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172085</wp:posOffset>
            </wp:positionV>
            <wp:extent cx="11226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Pratik Shah, Ph.D.</w:t>
      </w:r>
    </w:p>
    <w:p>
      <w:pPr>
        <w:jc w:val="center"/>
        <w:ind w:right="19"/>
        <w:spacing w:after="0" w:line="218" w:lineRule="auto"/>
        <w:rPr>
          <w:sz w:val="20"/>
          <w:szCs w:val="20"/>
          <w:color w:val="auto"/>
        </w:rPr>
      </w:pPr>
      <w:r>
        <w:rPr>
          <w:rFonts w:ascii="Times New Roman" w:cs="Times New Roman" w:eastAsia="Times New Roman" w:hAnsi="Times New Roman"/>
          <w:sz w:val="11"/>
          <w:szCs w:val="11"/>
          <w:b w:val="1"/>
          <w:bCs w:val="1"/>
          <w:color w:val="auto"/>
        </w:rPr>
        <w:t>President, Chief Executive Officer and Chairperson</w:t>
      </w:r>
    </w:p>
    <w:p>
      <w:pPr>
        <w:jc w:val="center"/>
        <w:ind w:right="19"/>
        <w:spacing w:after="0" w:line="216" w:lineRule="auto"/>
        <w:rPr>
          <w:sz w:val="20"/>
          <w:szCs w:val="20"/>
          <w:color w:val="auto"/>
        </w:rPr>
      </w:pPr>
      <w:r>
        <w:rPr>
          <w:rFonts w:ascii="Times New Roman" w:cs="Times New Roman" w:eastAsia="Times New Roman" w:hAnsi="Times New Roman"/>
          <w:sz w:val="11"/>
          <w:szCs w:val="11"/>
          <w:b w:val="1"/>
          <w:bCs w:val="1"/>
          <w:color w:val="auto"/>
        </w:rPr>
        <w:t>Design Therapeutics, Inc.</w:t>
      </w:r>
    </w:p>
    <w:p>
      <w:pPr>
        <w:jc w:val="center"/>
        <w:ind w:right="19"/>
        <w:spacing w:after="0" w:line="215" w:lineRule="auto"/>
        <w:rPr>
          <w:sz w:val="20"/>
          <w:szCs w:val="20"/>
          <w:color w:val="auto"/>
        </w:rPr>
      </w:pPr>
      <w:r>
        <w:rPr>
          <w:rFonts w:ascii="Times New Roman" w:cs="Times New Roman" w:eastAsia="Times New Roman" w:hAnsi="Times New Roman"/>
          <w:sz w:val="11"/>
          <w:szCs w:val="11"/>
          <w:b w:val="1"/>
          <w:bCs w:val="1"/>
          <w:color w:val="auto"/>
        </w:rPr>
        <w:t>6005 Hidden Valley Road, Suite 110</w:t>
      </w:r>
    </w:p>
    <w:p>
      <w:pPr>
        <w:jc w:val="center"/>
        <w:ind w:right="19"/>
        <w:spacing w:after="0" w:line="216" w:lineRule="auto"/>
        <w:rPr>
          <w:sz w:val="20"/>
          <w:szCs w:val="20"/>
          <w:color w:val="auto"/>
        </w:rPr>
      </w:pPr>
      <w:r>
        <w:rPr>
          <w:rFonts w:ascii="Times New Roman" w:cs="Times New Roman" w:eastAsia="Times New Roman" w:hAnsi="Times New Roman"/>
          <w:sz w:val="11"/>
          <w:szCs w:val="11"/>
          <w:b w:val="1"/>
          <w:bCs w:val="1"/>
          <w:color w:val="auto"/>
        </w:rPr>
        <w:t>Carlsbad, California 92011</w:t>
      </w:r>
    </w:p>
    <w:p>
      <w:pPr>
        <w:jc w:val="center"/>
        <w:ind w:right="19"/>
        <w:spacing w:after="0" w:line="220" w:lineRule="auto"/>
        <w:rPr>
          <w:sz w:val="20"/>
          <w:szCs w:val="20"/>
          <w:color w:val="auto"/>
        </w:rPr>
      </w:pPr>
      <w:r>
        <w:rPr>
          <w:rFonts w:ascii="Times New Roman" w:cs="Times New Roman" w:eastAsia="Times New Roman" w:hAnsi="Times New Roman"/>
          <w:sz w:val="11"/>
          <w:szCs w:val="11"/>
          <w:b w:val="1"/>
          <w:bCs w:val="1"/>
          <w:color w:val="auto"/>
        </w:rPr>
        <w:t>(858) 293-4900</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165735</wp:posOffset>
            </wp:positionV>
            <wp:extent cx="112268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Kenneth J. Rollins, Esq.</w:t>
      </w:r>
    </w:p>
    <w:p>
      <w:pPr>
        <w:jc w:val="center"/>
        <w:ind w:right="19"/>
        <w:spacing w:after="0" w:line="218" w:lineRule="auto"/>
        <w:rPr>
          <w:sz w:val="20"/>
          <w:szCs w:val="20"/>
          <w:color w:val="auto"/>
        </w:rPr>
      </w:pPr>
      <w:r>
        <w:rPr>
          <w:rFonts w:ascii="Times New Roman" w:cs="Times New Roman" w:eastAsia="Times New Roman" w:hAnsi="Times New Roman"/>
          <w:sz w:val="11"/>
          <w:szCs w:val="11"/>
          <w:b w:val="1"/>
          <w:bCs w:val="1"/>
          <w:color w:val="auto"/>
        </w:rPr>
        <w:t>Asa M. Henin, Esq.</w:t>
      </w:r>
    </w:p>
    <w:p>
      <w:pPr>
        <w:jc w:val="center"/>
        <w:ind w:right="19"/>
        <w:spacing w:after="0" w:line="216" w:lineRule="auto"/>
        <w:rPr>
          <w:sz w:val="20"/>
          <w:szCs w:val="20"/>
          <w:color w:val="auto"/>
        </w:rPr>
      </w:pPr>
      <w:r>
        <w:rPr>
          <w:rFonts w:ascii="Times New Roman" w:cs="Times New Roman" w:eastAsia="Times New Roman" w:hAnsi="Times New Roman"/>
          <w:sz w:val="11"/>
          <w:szCs w:val="11"/>
          <w:b w:val="1"/>
          <w:bCs w:val="1"/>
          <w:color w:val="auto"/>
        </w:rPr>
        <w:t>Cooley LLP</w:t>
      </w:r>
    </w:p>
    <w:p>
      <w:pPr>
        <w:jc w:val="center"/>
        <w:ind w:right="19"/>
        <w:spacing w:after="0" w:line="215" w:lineRule="auto"/>
        <w:rPr>
          <w:sz w:val="20"/>
          <w:szCs w:val="20"/>
          <w:color w:val="auto"/>
        </w:rPr>
      </w:pPr>
      <w:r>
        <w:rPr>
          <w:rFonts w:ascii="Times New Roman" w:cs="Times New Roman" w:eastAsia="Times New Roman" w:hAnsi="Times New Roman"/>
          <w:sz w:val="11"/>
          <w:szCs w:val="11"/>
          <w:b w:val="1"/>
          <w:bCs w:val="1"/>
          <w:color w:val="auto"/>
        </w:rPr>
        <w:t>10265 Science Center Drive</w:t>
      </w:r>
    </w:p>
    <w:p>
      <w:pPr>
        <w:jc w:val="center"/>
        <w:ind w:right="19"/>
        <w:spacing w:after="0" w:line="216" w:lineRule="auto"/>
        <w:rPr>
          <w:sz w:val="20"/>
          <w:szCs w:val="20"/>
          <w:color w:val="auto"/>
        </w:rPr>
      </w:pPr>
      <w:r>
        <w:rPr>
          <w:rFonts w:ascii="Times New Roman" w:cs="Times New Roman" w:eastAsia="Times New Roman" w:hAnsi="Times New Roman"/>
          <w:sz w:val="11"/>
          <w:szCs w:val="11"/>
          <w:b w:val="1"/>
          <w:bCs w:val="1"/>
          <w:color w:val="auto"/>
        </w:rPr>
        <w:t>San Diego, California 92121</w:t>
      </w: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(858) 550-6000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165735</wp:posOffset>
            </wp:positionV>
            <wp:extent cx="11226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From time to time after the effective date of this Registration Statement</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172720</wp:posOffset>
            </wp:positionV>
            <wp:extent cx="11226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97" w:lineRule="exact"/>
        <w:rPr>
          <w:sz w:val="24"/>
          <w:szCs w:val="24"/>
          <w:color w:val="auto"/>
        </w:rPr>
      </w:pPr>
    </w:p>
    <w:p>
      <w:pPr>
        <w:ind w:left="28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87" w:lineRule="exact"/>
        <w:rPr>
          <w:sz w:val="24"/>
          <w:szCs w:val="24"/>
          <w:color w:val="auto"/>
        </w:rPr>
      </w:pPr>
    </w:p>
    <w:p>
      <w:pPr>
        <w:ind w:left="280" w:right="739"/>
        <w:spacing w:after="0" w:line="142"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130" w:lineRule="exact"/>
        <w:rPr>
          <w:sz w:val="24"/>
          <w:szCs w:val="24"/>
          <w:color w:val="auto"/>
        </w:rPr>
      </w:pPr>
    </w:p>
    <w:p>
      <w:pPr>
        <w:ind w:left="280" w:right="539"/>
        <w:spacing w:after="0" w:line="142"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30" w:lineRule="exact"/>
        <w:rPr>
          <w:sz w:val="24"/>
          <w:szCs w:val="24"/>
          <w:color w:val="auto"/>
        </w:rPr>
      </w:pPr>
    </w:p>
    <w:p>
      <w:pPr>
        <w:ind w:left="280" w:right="559"/>
        <w:spacing w:after="0" w:line="142"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30" w:lineRule="exact"/>
        <w:rPr>
          <w:sz w:val="24"/>
          <w:szCs w:val="24"/>
          <w:color w:val="auto"/>
        </w:rPr>
      </w:pPr>
    </w:p>
    <w:p>
      <w:pPr>
        <w:ind w:left="280" w:right="299"/>
        <w:spacing w:after="0" w:line="142"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130" w:lineRule="exact"/>
        <w:rPr>
          <w:sz w:val="24"/>
          <w:szCs w:val="24"/>
          <w:color w:val="auto"/>
        </w:rPr>
      </w:pPr>
    </w:p>
    <w:p>
      <w:pPr>
        <w:ind w:left="280" w:right="359"/>
        <w:spacing w:after="0" w:line="142"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130" w:lineRule="exact"/>
        <w:rPr>
          <w:sz w:val="24"/>
          <w:szCs w:val="24"/>
          <w:color w:val="auto"/>
        </w:rPr>
      </w:pPr>
    </w:p>
    <w:p>
      <w:pPr>
        <w:ind w:left="280" w:right="459"/>
        <w:spacing w:after="0" w:line="245"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2" w:lineRule="exact"/>
        <w:rPr>
          <w:sz w:val="24"/>
          <w:szCs w:val="24"/>
          <w:color w:val="auto"/>
        </w:rPr>
      </w:pPr>
    </w:p>
    <w:tbl>
      <w:tblPr>
        <w:tblLayout w:type="fixed"/>
        <w:tblInd w:w="28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86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3960" w:type="dxa"/>
            <w:vAlign w:val="bottom"/>
          </w:tcPr>
          <w:p>
            <w:pPr>
              <w:ind w:left="2520"/>
              <w:spacing w:after="0"/>
              <w:rPr>
                <w:sz w:val="20"/>
                <w:szCs w:val="20"/>
                <w:color w:val="auto"/>
              </w:rPr>
            </w:pPr>
            <w:r>
              <w:rPr>
                <w:rFonts w:ascii="Times New Roman" w:cs="Times New Roman" w:eastAsia="Times New Roman" w:hAnsi="Times New Roman"/>
                <w:sz w:val="11"/>
                <w:szCs w:val="11"/>
                <w:color w:val="auto"/>
              </w:rPr>
              <w:t>Accelerated filer</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7"/>
        </w:trPr>
        <w:tc>
          <w:tcPr>
            <w:tcW w:w="12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86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3960" w:type="dxa"/>
            <w:vAlign w:val="bottom"/>
          </w:tcPr>
          <w:p>
            <w:pPr>
              <w:ind w:left="25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7"/>
        </w:trPr>
        <w:tc>
          <w:tcPr>
            <w:tcW w:w="1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960" w:type="dxa"/>
            <w:vAlign w:val="bottom"/>
          </w:tcPr>
          <w:p>
            <w:pPr>
              <w:ind w:left="2520"/>
              <w:spacing w:after="0"/>
              <w:rPr>
                <w:sz w:val="20"/>
                <w:szCs w:val="20"/>
                <w:color w:val="auto"/>
              </w:rPr>
            </w:pPr>
            <w:r>
              <w:rPr>
                <w:rFonts w:ascii="Times New Roman" w:cs="Times New Roman" w:eastAsia="Times New Roman" w:hAnsi="Times New Roman"/>
                <w:sz w:val="11"/>
                <w:szCs w:val="11"/>
                <w:color w:val="auto"/>
              </w:rPr>
              <w:t>Emerging growth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29" w:lineRule="exact"/>
        <w:rPr>
          <w:sz w:val="24"/>
          <w:szCs w:val="24"/>
          <w:color w:val="auto"/>
        </w:rPr>
      </w:pPr>
    </w:p>
    <w:p>
      <w:pPr>
        <w:ind w:left="280" w:right="559"/>
        <w:spacing w:after="0" w:line="14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159385</wp:posOffset>
            </wp:positionV>
            <wp:extent cx="112268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87" w:lineRule="exact"/>
        <w:rPr>
          <w:sz w:val="24"/>
          <w:szCs w:val="24"/>
          <w:color w:val="auto"/>
        </w:rPr>
      </w:pPr>
    </w:p>
    <w:p>
      <w:pPr>
        <w:ind w:left="280" w:right="319"/>
        <w:spacing w:after="0" w:line="235"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184150</wp:posOffset>
            </wp:positionH>
            <wp:positionV relativeFrom="paragraph">
              <wp:posOffset>104775</wp:posOffset>
            </wp:positionV>
            <wp:extent cx="535876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58765" cy="6350"/>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137160</wp:posOffset>
            </wp:positionV>
            <wp:extent cx="535876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58765" cy="6350"/>
                    </a:xfrm>
                    <a:prstGeom prst="rect">
                      <a:avLst/>
                    </a:prstGeom>
                    <a:noFill/>
                  </pic:spPr>
                </pic:pic>
              </a:graphicData>
            </a:graphic>
          </wp:anchor>
        </w:drawing>
      </w:r>
    </w:p>
    <w:p>
      <w:pPr>
        <w:sectPr>
          <w:pgSz w:w="11900" w:h="16838" w:orient="portrait"/>
          <w:cols w:equalWidth="0" w:num="1">
            <w:col w:w="9019"/>
          </w:cols>
          <w:pgMar w:left="1440" w:top="203" w:right="1440" w:bottom="1440" w:gutter="0" w:footer="0" w:header="0"/>
          <w:type w:val="continuous"/>
        </w:sectPr>
      </w:pPr>
    </w:p>
    <w:bookmarkStart w:id="1" w:name="page2"/>
    <w:bookmarkEnd w:id="1"/>
    <w:p>
      <w:pPr>
        <w:spacing w:after="0" w:line="148" w:lineRule="exact"/>
        <w:rPr>
          <w:sz w:val="20"/>
          <w:szCs w:val="20"/>
          <w:color w:val="auto"/>
        </w:rPr>
      </w:pPr>
    </w:p>
    <w:tbl>
      <w:tblPr>
        <w:tblLayout w:type="fixed"/>
        <w:tblInd w:w="436" w:type="dxa"/>
        <w:tblCellMar>
          <w:top w:w="0" w:type="dxa"/>
          <w:left w:w="0" w:type="dxa"/>
          <w:bottom w:w="0" w:type="dxa"/>
          <w:right w:w="0" w:type="dxa"/>
        </w:tblCellMar>
      </w:tblPr>
      <w:tr>
        <w:trPr>
          <w:trHeight w:val="200"/>
        </w:trPr>
        <w:tc>
          <w:tcPr>
            <w:tcW w:w="161"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not</w:t>
            </w:r>
          </w:p>
        </w:tc>
      </w:tr>
    </w:tbl>
    <w:p>
      <w:pPr>
        <w:spacing w:after="0" w:line="20" w:lineRule="exact"/>
        <w:rPr>
          <w:sz w:val="20"/>
          <w:szCs w:val="20"/>
          <w:color w:val="auto"/>
        </w:rPr>
      </w:pPr>
    </w:p>
    <w:tbl>
      <w:tblPr>
        <w:tblLayout w:type="fixed"/>
        <w:tblInd w:w="250" w:type="dxa"/>
        <w:tblCellMar>
          <w:top w:w="0" w:type="dxa"/>
          <w:left w:w="0" w:type="dxa"/>
          <w:bottom w:w="0" w:type="dxa"/>
          <w:right w:w="0" w:type="dxa"/>
        </w:tblCellMar>
      </w:tblPr>
      <w:tr>
        <w:trPr>
          <w:trHeight w:val="220"/>
        </w:trPr>
        <w:tc>
          <w:tcPr>
            <w:tcW w:w="348" w:type="dxa"/>
            <w:vAlign w:val="bottom"/>
            <w:textDirection w:val="btLr"/>
          </w:tcPr>
          <w:p>
            <w:pPr>
              <w:ind w:firstLine="13"/>
              <w:spacing w:after="0" w:line="279" w:lineRule="auto"/>
              <w:rPr>
                <w:sz w:val="20"/>
                <w:szCs w:val="20"/>
                <w:color w:val="auto"/>
              </w:rPr>
            </w:pPr>
            <w:r>
              <w:rPr>
                <w:rFonts w:ascii="Times New Roman" w:cs="Times New Roman" w:eastAsia="Times New Roman" w:hAnsi="Times New Roman"/>
                <w:sz w:val="13"/>
                <w:szCs w:val="13"/>
                <w:b w:val="1"/>
                <w:bCs w:val="1"/>
                <w:color w:val="FF4338"/>
              </w:rPr>
              <w:t>are and</w:t>
            </w:r>
          </w:p>
        </w:tc>
      </w:tr>
    </w:tbl>
    <w:p>
      <w:pPr>
        <w:spacing w:after="0" w:line="40" w:lineRule="exact"/>
        <w:rPr>
          <w:sz w:val="20"/>
          <w:szCs w:val="20"/>
          <w:color w:val="auto"/>
        </w:rPr>
      </w:pPr>
    </w:p>
    <w:tbl>
      <w:tblPr>
        <w:tblLayout w:type="fixed"/>
        <w:tblInd w:w="250" w:type="dxa"/>
        <w:tblCellMar>
          <w:top w:w="0" w:type="dxa"/>
          <w:left w:w="0" w:type="dxa"/>
          <w:bottom w:w="0" w:type="dxa"/>
          <w:right w:w="0" w:type="dxa"/>
        </w:tblCellMar>
      </w:tblPr>
      <w:tr>
        <w:trPr>
          <w:trHeight w:val="8260"/>
        </w:trPr>
        <w:tc>
          <w:tcPr>
            <w:tcW w:w="513" w:type="dxa"/>
            <w:vAlign w:val="bottom"/>
            <w:textDirection w:val="btLr"/>
          </w:tcPr>
          <w:p>
            <w:pPr>
              <w:spacing w:after="0" w:line="255" w:lineRule="auto"/>
              <w:rPr>
                <w:sz w:val="20"/>
                <w:szCs w:val="20"/>
                <w:color w:val="auto"/>
              </w:rPr>
            </w:pPr>
            <w:r>
              <w:rPr>
                <w:rFonts w:ascii="Times New Roman" w:cs="Times New Roman" w:eastAsia="Times New Roman" w:hAnsi="Times New Roman"/>
                <w:sz w:val="14"/>
                <w:szCs w:val="14"/>
                <w:b w:val="1"/>
                <w:bCs w:val="1"/>
                <w:color w:val="FF4338"/>
              </w:rPr>
              <w:t>soliciting offers to buy these securities in any state or jurisdiction where the offer or sale is not permitted. Exchange Commission declares our registration statement effective. This preliminary prospectus is not an offer to sell these securities and we The information in this preliminary prospectus is not complete and may be changed. We may not sell these securities until the U.S. Securities</w:t>
            </w:r>
          </w:p>
        </w:tc>
      </w:tr>
    </w:tbl>
    <w:p>
      <w:pPr>
        <w:spacing w:after="0" w:line="20" w:lineRule="exact"/>
        <w:rPr>
          <w:sz w:val="20"/>
          <w:szCs w:val="20"/>
          <w:color w:val="auto"/>
        </w:rPr>
      </w:pPr>
      <w:r>
        <w:rPr>
          <w:sz w:val="20"/>
          <w:szCs w:val="20"/>
          <w:color w:val="auto"/>
        </w:rPr>
        <w:br w:type="column"/>
      </w:r>
    </w:p>
    <w:p>
      <w:pPr>
        <w:ind w:left="1720"/>
        <w:spacing w:after="0"/>
        <w:rPr>
          <w:sz w:val="20"/>
          <w:szCs w:val="20"/>
          <w:color w:val="auto"/>
        </w:rPr>
      </w:pPr>
      <w:r>
        <w:rPr>
          <w:rFonts w:ascii="Times New Roman" w:cs="Times New Roman" w:eastAsia="Times New Roman" w:hAnsi="Times New Roman"/>
          <w:sz w:val="14"/>
          <w:szCs w:val="14"/>
          <w:b w:val="1"/>
          <w:bCs w:val="1"/>
          <w:color w:val="FF4338"/>
        </w:rPr>
        <w:t>SUBJECT TO COMPLETION, DATED NOVEMBER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-235585</wp:posOffset>
            </wp:positionV>
            <wp:extent cx="720280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5"/>
          <w:szCs w:val="25"/>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135890</wp:posOffset>
            </wp:positionV>
            <wp:extent cx="2016125" cy="518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16125" cy="51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173990</wp:posOffset>
            </wp:positionV>
            <wp:extent cx="9525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2500" cy="63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019" w:firstLine="284"/>
        <w:spacing w:after="0" w:line="255" w:lineRule="auto"/>
        <w:rPr>
          <w:sz w:val="20"/>
          <w:szCs w:val="20"/>
          <w:color w:val="auto"/>
        </w:rPr>
      </w:pPr>
      <w:r>
        <w:rPr>
          <w:rFonts w:ascii="Times New Roman" w:cs="Times New Roman" w:eastAsia="Times New Roman" w:hAnsi="Times New Roman"/>
          <w:sz w:val="14"/>
          <w:szCs w:val="14"/>
          <w:color w:val="auto"/>
        </w:rPr>
        <w:t>From time to time, we may offer and sell up to $300,000,000 of any combination of shares of our common stock, shares of our preferred stock, debt securities and warrants to purchase any of such securities, in one or more offerings as described in this prospectus. We may also offer securities as may be issuable upon conversion, redemption, repurchase, exchange or exercise of any securities registered hereunder, including any applicable antidilution provisions.</w:t>
      </w:r>
    </w:p>
    <w:p>
      <w:pPr>
        <w:spacing w:after="0" w:line="143" w:lineRule="exact"/>
        <w:rPr>
          <w:sz w:val="20"/>
          <w:szCs w:val="20"/>
          <w:color w:val="auto"/>
        </w:rPr>
      </w:pPr>
    </w:p>
    <w:p>
      <w:pPr>
        <w:ind w:right="959" w:firstLine="284"/>
        <w:spacing w:after="0" w:line="251" w:lineRule="auto"/>
        <w:rPr>
          <w:sz w:val="20"/>
          <w:szCs w:val="20"/>
          <w:color w:val="auto"/>
        </w:rPr>
      </w:pPr>
      <w:r>
        <w:rPr>
          <w:rFonts w:ascii="Times New Roman" w:cs="Times New Roman" w:eastAsia="Times New Roman" w:hAnsi="Times New Roman"/>
          <w:sz w:val="14"/>
          <w:szCs w:val="14"/>
          <w:color w:val="auto"/>
        </w:rPr>
        <w:t>This prospectus provides a general description of the securities we may offer. Each time we offer securities, we will specify in an accompanying prospectus supplement the terms of the securities being offered.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48" w:lineRule="exact"/>
        <w:rPr>
          <w:sz w:val="20"/>
          <w:szCs w:val="20"/>
          <w:color w:val="auto"/>
        </w:rPr>
      </w:pPr>
    </w:p>
    <w:p>
      <w:pPr>
        <w:ind w:right="959" w:firstLine="284"/>
        <w:spacing w:after="0" w:line="273" w:lineRule="auto"/>
        <w:rPr>
          <w:sz w:val="20"/>
          <w:szCs w:val="20"/>
          <w:color w:val="auto"/>
        </w:rPr>
      </w:pPr>
      <w:r>
        <w:rPr>
          <w:rFonts w:ascii="Times New Roman" w:cs="Times New Roman" w:eastAsia="Times New Roman" w:hAnsi="Times New Roman"/>
          <w:sz w:val="14"/>
          <w:szCs w:val="14"/>
          <w:color w:val="auto"/>
        </w:rPr>
        <w:t>We are a “smaller reporting company” under the federal securities laws and, as such, are subject to reduced public company reporting requirements. See “Summary—Implications of Being a Smaller Reporting Company.”</w:t>
      </w:r>
    </w:p>
    <w:p>
      <w:pPr>
        <w:spacing w:after="0" w:line="126" w:lineRule="exact"/>
        <w:rPr>
          <w:sz w:val="20"/>
          <w:szCs w:val="20"/>
          <w:color w:val="auto"/>
        </w:rPr>
      </w:pPr>
    </w:p>
    <w:p>
      <w:pPr>
        <w:ind w:right="1439" w:firstLine="284"/>
        <w:spacing w:after="0" w:line="279" w:lineRule="auto"/>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any securities unless accompanied by a prospectus supplement.</w:t>
      </w:r>
    </w:p>
    <w:p>
      <w:pPr>
        <w:spacing w:after="0" w:line="126" w:lineRule="exact"/>
        <w:rPr>
          <w:sz w:val="20"/>
          <w:szCs w:val="20"/>
          <w:color w:val="auto"/>
        </w:rPr>
      </w:pPr>
    </w:p>
    <w:p>
      <w:pPr>
        <w:ind w:right="1079" w:firstLine="284"/>
        <w:spacing w:after="0" w:line="255" w:lineRule="auto"/>
        <w:rPr>
          <w:sz w:val="20"/>
          <w:szCs w:val="20"/>
          <w:color w:val="auto"/>
        </w:rPr>
      </w:pPr>
      <w:r>
        <w:rPr>
          <w:rFonts w:ascii="Times New Roman" w:cs="Times New Roman" w:eastAsia="Times New Roman" w:hAnsi="Times New Roman"/>
          <w:sz w:val="14"/>
          <w:szCs w:val="14"/>
          <w:color w:val="auto"/>
        </w:rPr>
        <w:t>Our common stock is traded on The Nasdaq Global Select Market under the symbol “DSGN.” On November 3, 2026, the last reported sale price of our common stock was $10.34 per share. The applicable prospectus supplement will contain information as to any other listing on The Nasdaq Global Select Market or any securities market or other exchange of the securities, if any, covered by the prospectus supplement.</w:t>
      </w:r>
    </w:p>
    <w:p>
      <w:pPr>
        <w:spacing w:after="0" w:line="143" w:lineRule="exact"/>
        <w:rPr>
          <w:sz w:val="20"/>
          <w:szCs w:val="20"/>
          <w:color w:val="auto"/>
        </w:rPr>
      </w:pPr>
    </w:p>
    <w:p>
      <w:pPr>
        <w:ind w:right="959" w:firstLine="284"/>
        <w:spacing w:after="0" w:line="251" w:lineRule="auto"/>
        <w:rPr>
          <w:sz w:val="20"/>
          <w:szCs w:val="20"/>
          <w:color w:val="auto"/>
        </w:rPr>
      </w:pPr>
      <w:r>
        <w:rPr>
          <w:rFonts w:ascii="Times New Roman" w:cs="Times New Roman" w:eastAsia="Times New Roman" w:hAnsi="Times New Roman"/>
          <w:sz w:val="14"/>
          <w:szCs w:val="14"/>
          <w:color w:val="auto"/>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219" w:lineRule="exact"/>
        <w:rPr>
          <w:sz w:val="20"/>
          <w:szCs w:val="20"/>
          <w:color w:val="auto"/>
        </w:rPr>
      </w:pPr>
    </w:p>
    <w:p>
      <w:pPr>
        <w:ind w:right="999" w:firstLine="284"/>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Investing in our securities involves a high degree of risk. You should carefully review the risks and uncertainties described under the heading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i w:val="1"/>
          <w:iCs w:val="1"/>
          <w:color w:val="auto"/>
        </w:rPr>
        <w:t>” on page 5 of this prospectus and contained in the applicable prospectus supplement and any related free writing prospectus, and under similar headings in the other documents that are incorporated by reference into this prospectus.</w:t>
      </w:r>
    </w:p>
    <w:p>
      <w:pPr>
        <w:spacing w:after="0" w:line="127" w:lineRule="exact"/>
        <w:rPr>
          <w:sz w:val="20"/>
          <w:szCs w:val="20"/>
          <w:color w:val="auto"/>
        </w:rPr>
      </w:pPr>
    </w:p>
    <w:p>
      <w:pPr>
        <w:ind w:right="1039" w:firstLine="284"/>
        <w:spacing w:after="0" w:line="26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168275</wp:posOffset>
            </wp:positionV>
            <wp:extent cx="9525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250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3" w:space="177"/>
            <w:col w:w="8079"/>
          </w:cols>
          <w:pgMar w:left="1440" w:top="350" w:right="1440" w:bottom="1440" w:gutter="0" w:footer="0" w:header="0"/>
        </w:sectPr>
      </w:pPr>
    </w:p>
    <w:p>
      <w:pPr>
        <w:spacing w:after="0" w:line="224" w:lineRule="exact"/>
        <w:rPr>
          <w:sz w:val="20"/>
          <w:szCs w:val="20"/>
          <w:color w:val="auto"/>
        </w:rPr>
      </w:pPr>
    </w:p>
    <w:p>
      <w:pPr>
        <w:jc w:val="center"/>
        <w:ind w:right="19"/>
        <w:spacing w:after="0"/>
        <w:tabs>
          <w:tab w:leader="none" w:pos="120" w:val="left"/>
        </w:tabs>
        <w:rPr>
          <w:sz w:val="20"/>
          <w:szCs w:val="20"/>
          <w:color w:val="auto"/>
        </w:rPr>
      </w:pPr>
      <w:r>
        <w:rPr>
          <w:rFonts w:ascii="Times New Roman" w:cs="Times New Roman" w:eastAsia="Times New Roman" w:hAnsi="Times New Roman"/>
          <w:sz w:val="14"/>
          <w:szCs w:val="14"/>
          <w:b w:val="1"/>
          <w:bCs w:val="1"/>
          <w:color w:val="auto"/>
        </w:rPr>
        <w:t xml:space="preserve">The date of this prospectus is          </w:t>
      </w:r>
      <w:r>
        <w:rPr>
          <w:sz w:val="20"/>
          <w:szCs w:val="20"/>
          <w:color w:val="auto"/>
        </w:rPr>
        <w:tab/>
      </w:r>
      <w:r>
        <w:rPr>
          <w:rFonts w:ascii="Times New Roman" w:cs="Times New Roman" w:eastAsia="Times New Roman" w:hAnsi="Times New Roman"/>
          <w:sz w:val="13"/>
          <w:szCs w:val="13"/>
          <w:b w:val="1"/>
          <w:bCs w:val="1"/>
          <w:color w:val="auto"/>
        </w:rPr>
        <w:t>, 2026.</w:t>
      </w:r>
    </w:p>
    <w:p>
      <w:pPr>
        <w:sectPr>
          <w:pgSz w:w="11900" w:h="16838" w:orient="portrait"/>
          <w:cols w:equalWidth="0" w:num="1">
            <w:col w:w="9019"/>
          </w:cols>
          <w:pgMar w:left="1440" w:top="350" w:right="1440" w:bottom="1440" w:gutter="0" w:footer="0" w:header="0"/>
          <w:type w:val="continuous"/>
        </w:sectPr>
      </w:pPr>
    </w:p>
    <w:bookmarkStart w:id="2" w:name="page3"/>
    <w:bookmarkEnd w:id="2"/>
    <w:tbl>
      <w:tblPr>
        <w:tblLayout w:type="fixed"/>
        <w:tblInd w:w="280" w:type="dxa"/>
        <w:tblCellMar>
          <w:top w:w="0" w:type="dxa"/>
          <w:left w:w="0" w:type="dxa"/>
          <w:bottom w:w="0" w:type="dxa"/>
          <w:right w:w="0" w:type="dxa"/>
        </w:tblCellMar>
      </w:tblPr>
      <w:tr>
        <w:trPr>
          <w:trHeight w:val="183"/>
        </w:trPr>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7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780" w:type="dxa"/>
            <w:vAlign w:val="bottom"/>
          </w:tcPr>
          <w:p>
            <w:pPr>
              <w:spacing w:after="0"/>
              <w:rPr>
                <w:sz w:val="15"/>
                <w:szCs w:val="15"/>
                <w:color w:val="auto"/>
              </w:rPr>
            </w:pPr>
          </w:p>
        </w:tc>
      </w:tr>
      <w:tr>
        <w:trPr>
          <w:trHeight w:val="320"/>
        </w:trPr>
        <w:tc>
          <w:tcPr>
            <w:tcW w:w="1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7"/>
              </w:rPr>
              <w:t>ABOUT THIS PROSPECTUS</w:t>
            </w:r>
          </w:p>
        </w:tc>
        <w:tc>
          <w:tcPr>
            <w:tcW w:w="4900" w:type="dxa"/>
            <w:vAlign w:val="bottom"/>
            <w:gridSpan w:val="8"/>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w:t>
            </w:r>
          </w:p>
        </w:tc>
      </w:tr>
      <w:tr>
        <w:trPr>
          <w:trHeight w:val="145"/>
        </w:trPr>
        <w:tc>
          <w:tcPr>
            <w:tcW w:w="6620" w:type="dxa"/>
            <w:vAlign w:val="bottom"/>
            <w:gridSpan w:val="15"/>
          </w:tcPr>
          <w:p>
            <w:pPr>
              <w:spacing w:after="0" w:line="145" w:lineRule="exact"/>
              <w:rPr>
                <w:sz w:val="20"/>
                <w:szCs w:val="20"/>
                <w:color w:val="auto"/>
              </w:rPr>
            </w:pPr>
            <w:r>
              <w:rPr>
                <w:rFonts w:ascii="Times New Roman" w:cs="Times New Roman" w:eastAsia="Times New Roman" w:hAnsi="Times New Roman"/>
                <w:sz w:val="14"/>
                <w:szCs w:val="14"/>
                <w:color w:val="0000EE"/>
              </w:rPr>
              <w:t>SUMMARY</w:t>
            </w:r>
          </w:p>
        </w:tc>
        <w:tc>
          <w:tcPr>
            <w:tcW w:w="1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w:t>
            </w: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45"/>
        </w:trPr>
        <w:tc>
          <w:tcPr>
            <w:tcW w:w="6620" w:type="dxa"/>
            <w:vAlign w:val="bottom"/>
            <w:gridSpan w:val="15"/>
          </w:tcPr>
          <w:p>
            <w:pPr>
              <w:spacing w:after="0" w:line="145" w:lineRule="exact"/>
              <w:rPr>
                <w:sz w:val="20"/>
                <w:szCs w:val="20"/>
                <w:color w:val="auto"/>
              </w:rPr>
            </w:pPr>
            <w:r>
              <w:rPr>
                <w:rFonts w:ascii="Times New Roman" w:cs="Times New Roman" w:eastAsia="Times New Roman" w:hAnsi="Times New Roman"/>
                <w:sz w:val="14"/>
                <w:szCs w:val="14"/>
                <w:color w:val="0000EE"/>
              </w:rPr>
              <w:t>RISK FACTORS</w:t>
            </w:r>
          </w:p>
        </w:tc>
        <w:tc>
          <w:tcPr>
            <w:tcW w:w="1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45"/>
        </w:trPr>
        <w:tc>
          <w:tcPr>
            <w:tcW w:w="4100" w:type="dxa"/>
            <w:vAlign w:val="bottom"/>
            <w:tcBorders>
              <w:bottom w:val="single" w:sz="8" w:color="0000EE"/>
            </w:tcBorders>
            <w:gridSpan w:val="14"/>
          </w:tcPr>
          <w:p>
            <w:pPr>
              <w:spacing w:after="0" w:line="145" w:lineRule="exact"/>
              <w:rPr>
                <w:sz w:val="20"/>
                <w:szCs w:val="20"/>
                <w:color w:val="auto"/>
              </w:rPr>
            </w:pPr>
            <w:r>
              <w:rPr>
                <w:rFonts w:ascii="Times New Roman" w:cs="Times New Roman" w:eastAsia="Times New Roman" w:hAnsi="Times New Roman"/>
                <w:sz w:val="14"/>
                <w:szCs w:val="14"/>
                <w:color w:val="0000EE"/>
                <w:w w:val="97"/>
              </w:rPr>
              <w:t>SPECIAL NOTE REGARDING FORWARD-LOOKING STATEMENTS</w:t>
            </w:r>
          </w:p>
        </w:tc>
        <w:tc>
          <w:tcPr>
            <w:tcW w:w="2520" w:type="dxa"/>
            <w:vAlign w:val="bottom"/>
          </w:tcPr>
          <w:p>
            <w:pPr>
              <w:spacing w:after="0"/>
              <w:rPr>
                <w:sz w:val="12"/>
                <w:szCs w:val="12"/>
                <w:color w:val="auto"/>
              </w:rPr>
            </w:pPr>
          </w:p>
        </w:tc>
        <w:tc>
          <w:tcPr>
            <w:tcW w:w="1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6</w:t>
            </w:r>
          </w:p>
        </w:tc>
      </w:tr>
      <w:tr>
        <w:trPr>
          <w:trHeight w:val="145"/>
        </w:trPr>
        <w:tc>
          <w:tcPr>
            <w:tcW w:w="1220" w:type="dxa"/>
            <w:vAlign w:val="bottom"/>
            <w:tcBorders>
              <w:bottom w:val="single" w:sz="8" w:color="0000EE"/>
            </w:tcBorders>
            <w:gridSpan w:val="5"/>
          </w:tcPr>
          <w:p>
            <w:pPr>
              <w:spacing w:after="0" w:line="145" w:lineRule="exact"/>
              <w:rPr>
                <w:sz w:val="20"/>
                <w:szCs w:val="20"/>
                <w:color w:val="auto"/>
              </w:rPr>
            </w:pPr>
            <w:r>
              <w:rPr>
                <w:rFonts w:ascii="Times New Roman" w:cs="Times New Roman" w:eastAsia="Times New Roman" w:hAnsi="Times New Roman"/>
                <w:sz w:val="14"/>
                <w:szCs w:val="14"/>
                <w:color w:val="0000EE"/>
                <w:w w:val="97"/>
              </w:rPr>
              <w:t>USE OF PROCEEDS</w:t>
            </w:r>
          </w:p>
        </w:tc>
        <w:tc>
          <w:tcPr>
            <w:tcW w:w="5400" w:type="dxa"/>
            <w:vAlign w:val="bottom"/>
            <w:gridSpan w:val="10"/>
          </w:tcPr>
          <w:p>
            <w:pPr>
              <w:spacing w:after="0"/>
              <w:rPr>
                <w:sz w:val="12"/>
                <w:szCs w:val="12"/>
                <w:color w:val="auto"/>
              </w:rPr>
            </w:pPr>
          </w:p>
        </w:tc>
        <w:tc>
          <w:tcPr>
            <w:tcW w:w="1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7</w:t>
            </w:r>
          </w:p>
        </w:tc>
      </w:tr>
      <w:tr>
        <w:trPr>
          <w:trHeight w:val="145"/>
        </w:trPr>
        <w:tc>
          <w:tcPr>
            <w:tcW w:w="6620" w:type="dxa"/>
            <w:vAlign w:val="bottom"/>
            <w:gridSpan w:val="15"/>
          </w:tcPr>
          <w:p>
            <w:pPr>
              <w:spacing w:after="0" w:line="145"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1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45"/>
        </w:trPr>
        <w:tc>
          <w:tcPr>
            <w:tcW w:w="2340" w:type="dxa"/>
            <w:vAlign w:val="bottom"/>
            <w:tcBorders>
              <w:bottom w:val="single" w:sz="8" w:color="0000EE"/>
            </w:tcBorders>
            <w:gridSpan w:val="11"/>
          </w:tcPr>
          <w:p>
            <w:pPr>
              <w:spacing w:after="0" w:line="145" w:lineRule="exact"/>
              <w:rPr>
                <w:sz w:val="20"/>
                <w:szCs w:val="20"/>
                <w:color w:val="auto"/>
              </w:rPr>
            </w:pPr>
            <w:r>
              <w:rPr>
                <w:rFonts w:ascii="Times New Roman" w:cs="Times New Roman" w:eastAsia="Times New Roman" w:hAnsi="Times New Roman"/>
                <w:sz w:val="14"/>
                <w:szCs w:val="14"/>
                <w:color w:val="0000EE"/>
                <w:w w:val="98"/>
              </w:rPr>
              <w:t>DESCRIPTION OF DEBT SECURITIES</w:t>
            </w:r>
          </w:p>
        </w:tc>
        <w:tc>
          <w:tcPr>
            <w:tcW w:w="4280" w:type="dxa"/>
            <w:vAlign w:val="bottom"/>
            <w:gridSpan w:val="4"/>
          </w:tcPr>
          <w:p>
            <w:pPr>
              <w:spacing w:after="0"/>
              <w:rPr>
                <w:sz w:val="12"/>
                <w:szCs w:val="12"/>
                <w:color w:val="auto"/>
              </w:rPr>
            </w:pPr>
          </w:p>
        </w:tc>
        <w:tc>
          <w:tcPr>
            <w:tcW w:w="1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15</w:t>
            </w:r>
          </w:p>
        </w:tc>
      </w:tr>
      <w:tr>
        <w:trPr>
          <w:trHeight w:val="145"/>
        </w:trPr>
        <w:tc>
          <w:tcPr>
            <w:tcW w:w="6620" w:type="dxa"/>
            <w:vAlign w:val="bottom"/>
            <w:gridSpan w:val="15"/>
          </w:tcPr>
          <w:p>
            <w:pPr>
              <w:spacing w:after="0" w:line="145" w:lineRule="exact"/>
              <w:rPr>
                <w:sz w:val="20"/>
                <w:szCs w:val="20"/>
                <w:color w:val="auto"/>
              </w:rPr>
            </w:pPr>
            <w:r>
              <w:rPr>
                <w:rFonts w:ascii="Times New Roman" w:cs="Times New Roman" w:eastAsia="Times New Roman" w:hAnsi="Times New Roman"/>
                <w:sz w:val="14"/>
                <w:szCs w:val="14"/>
                <w:color w:val="0000EE"/>
              </w:rPr>
              <w:t>DESCRIPTION OF WARRANTS</w:t>
            </w:r>
          </w:p>
        </w:tc>
        <w:tc>
          <w:tcPr>
            <w:tcW w:w="1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22</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45"/>
        </w:trPr>
        <w:tc>
          <w:tcPr>
            <w:tcW w:w="6620" w:type="dxa"/>
            <w:vAlign w:val="bottom"/>
            <w:gridSpan w:val="15"/>
          </w:tcPr>
          <w:p>
            <w:pPr>
              <w:spacing w:after="0" w:line="145" w:lineRule="exact"/>
              <w:rPr>
                <w:sz w:val="20"/>
                <w:szCs w:val="20"/>
                <w:color w:val="auto"/>
              </w:rPr>
            </w:pPr>
            <w:r>
              <w:rPr>
                <w:rFonts w:ascii="Times New Roman" w:cs="Times New Roman" w:eastAsia="Times New Roman" w:hAnsi="Times New Roman"/>
                <w:sz w:val="14"/>
                <w:szCs w:val="14"/>
                <w:color w:val="0000EE"/>
              </w:rPr>
              <w:t>LEGAL OWNERSHIP OF SECURITIES</w:t>
            </w:r>
          </w:p>
        </w:tc>
        <w:tc>
          <w:tcPr>
            <w:tcW w:w="1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25</w:t>
            </w:r>
          </w:p>
        </w:tc>
      </w:tr>
      <w:tr>
        <w:trPr>
          <w:trHeight w:val="145"/>
        </w:trPr>
        <w:tc>
          <w:tcPr>
            <w:tcW w:w="1580" w:type="dxa"/>
            <w:vAlign w:val="bottom"/>
            <w:tcBorders>
              <w:top w:val="single" w:sz="8" w:color="0000EE"/>
              <w:bottom w:val="single" w:sz="8" w:color="0000EE"/>
            </w:tcBorders>
            <w:gridSpan w:val="6"/>
          </w:tcPr>
          <w:p>
            <w:pPr>
              <w:spacing w:after="0" w:line="145"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740" w:type="dxa"/>
            <w:vAlign w:val="bottom"/>
            <w:tcBorders>
              <w:top w:val="single" w:sz="8" w:color="0000EE"/>
            </w:tcBorders>
            <w:gridSpan w:val="4"/>
          </w:tcPr>
          <w:p>
            <w:pPr>
              <w:spacing w:after="0"/>
              <w:rPr>
                <w:sz w:val="12"/>
                <w:szCs w:val="12"/>
                <w:color w:val="auto"/>
              </w:rPr>
            </w:pPr>
          </w:p>
        </w:tc>
        <w:tc>
          <w:tcPr>
            <w:tcW w:w="4300" w:type="dxa"/>
            <w:vAlign w:val="bottom"/>
            <w:gridSpan w:val="5"/>
          </w:tcPr>
          <w:p>
            <w:pPr>
              <w:spacing w:after="0"/>
              <w:rPr>
                <w:sz w:val="12"/>
                <w:szCs w:val="12"/>
                <w:color w:val="auto"/>
              </w:rPr>
            </w:pPr>
          </w:p>
        </w:tc>
        <w:tc>
          <w:tcPr>
            <w:tcW w:w="1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29</w:t>
            </w:r>
          </w:p>
        </w:tc>
      </w:tr>
      <w:tr>
        <w:trPr>
          <w:trHeight w:val="145"/>
        </w:trPr>
        <w:tc>
          <w:tcPr>
            <w:tcW w:w="1120" w:type="dxa"/>
            <w:vAlign w:val="bottom"/>
            <w:tcBorders>
              <w:bottom w:val="single" w:sz="8" w:color="0000EE"/>
            </w:tcBorders>
            <w:gridSpan w:val="4"/>
          </w:tcPr>
          <w:p>
            <w:pPr>
              <w:spacing w:after="0" w:line="145" w:lineRule="exact"/>
              <w:rPr>
                <w:sz w:val="20"/>
                <w:szCs w:val="20"/>
                <w:color w:val="auto"/>
              </w:rPr>
            </w:pPr>
            <w:r>
              <w:rPr>
                <w:rFonts w:ascii="Times New Roman" w:cs="Times New Roman" w:eastAsia="Times New Roman" w:hAnsi="Times New Roman"/>
                <w:sz w:val="14"/>
                <w:szCs w:val="14"/>
                <w:color w:val="0000EE"/>
                <w:w w:val="95"/>
              </w:rPr>
              <w:t>LEGAL MATTERS</w:t>
            </w:r>
          </w:p>
        </w:tc>
        <w:tc>
          <w:tcPr>
            <w:tcW w:w="5500" w:type="dxa"/>
            <w:vAlign w:val="bottom"/>
            <w:gridSpan w:val="11"/>
          </w:tcPr>
          <w:p>
            <w:pPr>
              <w:spacing w:after="0"/>
              <w:rPr>
                <w:sz w:val="12"/>
                <w:szCs w:val="12"/>
                <w:color w:val="auto"/>
              </w:rPr>
            </w:pPr>
          </w:p>
        </w:tc>
        <w:tc>
          <w:tcPr>
            <w:tcW w:w="1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31</w:t>
            </w:r>
          </w:p>
        </w:tc>
      </w:tr>
      <w:tr>
        <w:trPr>
          <w:trHeight w:val="145"/>
        </w:trPr>
        <w:tc>
          <w:tcPr>
            <w:tcW w:w="600" w:type="dxa"/>
            <w:vAlign w:val="bottom"/>
            <w:tcBorders>
              <w:bottom w:val="single" w:sz="8" w:color="0000EE"/>
            </w:tcBorders>
          </w:tcPr>
          <w:p>
            <w:pPr>
              <w:spacing w:after="0" w:line="145" w:lineRule="exact"/>
              <w:rPr>
                <w:sz w:val="20"/>
                <w:szCs w:val="20"/>
                <w:color w:val="auto"/>
              </w:rPr>
            </w:pPr>
            <w:r>
              <w:rPr>
                <w:rFonts w:ascii="Times New Roman" w:cs="Times New Roman" w:eastAsia="Times New Roman" w:hAnsi="Times New Roman"/>
                <w:sz w:val="14"/>
                <w:szCs w:val="14"/>
                <w:color w:val="0000EE"/>
                <w:w w:val="95"/>
              </w:rPr>
              <w:t>EXPERTS</w:t>
            </w:r>
          </w:p>
        </w:tc>
        <w:tc>
          <w:tcPr>
            <w:tcW w:w="6020" w:type="dxa"/>
            <w:vAlign w:val="bottom"/>
            <w:gridSpan w:val="14"/>
          </w:tcPr>
          <w:p>
            <w:pPr>
              <w:spacing w:after="0"/>
              <w:rPr>
                <w:sz w:val="12"/>
                <w:szCs w:val="12"/>
                <w:color w:val="auto"/>
              </w:rPr>
            </w:pPr>
          </w:p>
        </w:tc>
        <w:tc>
          <w:tcPr>
            <w:tcW w:w="1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32</w:t>
            </w:r>
          </w:p>
        </w:tc>
      </w:tr>
      <w:tr>
        <w:trPr>
          <w:trHeight w:val="145"/>
        </w:trPr>
        <w:tc>
          <w:tcPr>
            <w:tcW w:w="6620" w:type="dxa"/>
            <w:vAlign w:val="bottom"/>
            <w:gridSpan w:val="15"/>
          </w:tcPr>
          <w:p>
            <w:pPr>
              <w:spacing w:after="0" w:line="145"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33</w:t>
            </w:r>
          </w:p>
        </w:tc>
      </w:tr>
      <w:tr>
        <w:trPr>
          <w:trHeight w:val="20"/>
        </w:trPr>
        <w:tc>
          <w:tcPr>
            <w:tcW w:w="2920" w:type="dxa"/>
            <w:vAlign w:val="bottom"/>
            <w:gridSpan w:val="1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45"/>
        </w:trPr>
        <w:tc>
          <w:tcPr>
            <w:tcW w:w="3980" w:type="dxa"/>
            <w:vAlign w:val="bottom"/>
            <w:tcBorders>
              <w:bottom w:val="single" w:sz="8" w:color="0000EE"/>
            </w:tcBorders>
            <w:gridSpan w:val="13"/>
          </w:tcPr>
          <w:p>
            <w:pPr>
              <w:spacing w:after="0" w:line="145" w:lineRule="exact"/>
              <w:rPr>
                <w:sz w:val="20"/>
                <w:szCs w:val="20"/>
                <w:color w:val="auto"/>
              </w:rPr>
            </w:pPr>
            <w:r>
              <w:rPr>
                <w:rFonts w:ascii="Times New Roman" w:cs="Times New Roman" w:eastAsia="Times New Roman" w:hAnsi="Times New Roman"/>
                <w:sz w:val="14"/>
                <w:szCs w:val="14"/>
                <w:color w:val="0000EE"/>
                <w:w w:val="97"/>
              </w:rPr>
              <w:t>INCORPORATION OF CERTAIN INFORMATION BY REFERENCE</w:t>
            </w:r>
          </w:p>
        </w:tc>
        <w:tc>
          <w:tcPr>
            <w:tcW w:w="2640" w:type="dxa"/>
            <w:vAlign w:val="bottom"/>
            <w:gridSpan w:val="2"/>
          </w:tcPr>
          <w:p>
            <w:pPr>
              <w:spacing w:after="0"/>
              <w:rPr>
                <w:sz w:val="12"/>
                <w:szCs w:val="12"/>
                <w:color w:val="auto"/>
              </w:rPr>
            </w:pPr>
          </w:p>
        </w:tc>
        <w:tc>
          <w:tcPr>
            <w:tcW w:w="1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34</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ABOUT THIS PROSPECTUS</w:t>
      </w:r>
    </w:p>
    <w:p>
      <w:pPr>
        <w:spacing w:after="0" w:line="174" w:lineRule="exact"/>
        <w:rPr>
          <w:sz w:val="20"/>
          <w:szCs w:val="20"/>
          <w:color w:val="auto"/>
        </w:rPr>
      </w:pPr>
    </w:p>
    <w:p>
      <w:pPr>
        <w:jc w:val="both"/>
        <w:ind w:left="280" w:right="679" w:firstLine="337"/>
        <w:spacing w:after="0" w:line="259" w:lineRule="auto"/>
        <w:rPr>
          <w:sz w:val="20"/>
          <w:szCs w:val="20"/>
          <w:color w:val="auto"/>
        </w:rPr>
      </w:pPr>
      <w:r>
        <w:rPr>
          <w:rFonts w:ascii="Times New Roman" w:cs="Times New Roman" w:eastAsia="Times New Roman" w:hAnsi="Times New Roman"/>
          <w:sz w:val="14"/>
          <w:szCs w:val="14"/>
          <w:color w:val="auto"/>
        </w:rPr>
        <w:t>This prospectus is a part of a registration statement on Form S-3 that we filed with the U.S. Securities and Exchange Commission (“SEC”) utilizing a “shelf” registration process. Under this shelf registration process, we may offer and sell, from time to time, in one or more offerings the securities described in this prospectus up to a total dollar amount of $300,000,000.</w:t>
      </w:r>
    </w:p>
    <w:p>
      <w:pPr>
        <w:spacing w:after="0" w:line="141" w:lineRule="exact"/>
        <w:rPr>
          <w:sz w:val="20"/>
          <w:szCs w:val="20"/>
          <w:color w:val="auto"/>
        </w:rPr>
      </w:pPr>
    </w:p>
    <w:p>
      <w:pPr>
        <w:ind w:left="280" w:right="379" w:firstLine="337"/>
        <w:spacing w:after="0" w:line="251"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may offer. Each time we offer securities under this prospectus, we will provide a prospectus supplement that will contain specific information about the terms of these securities and offerings.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41" w:lineRule="exact"/>
        <w:rPr>
          <w:sz w:val="20"/>
          <w:szCs w:val="20"/>
          <w:color w:val="auto"/>
        </w:rPr>
      </w:pPr>
    </w:p>
    <w:p>
      <w:pPr>
        <w:ind w:left="280" w:right="539" w:firstLine="337"/>
        <w:spacing w:after="0" w:line="279" w:lineRule="auto"/>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126"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48" w:lineRule="exact"/>
        <w:rPr>
          <w:sz w:val="20"/>
          <w:szCs w:val="20"/>
          <w:color w:val="auto"/>
        </w:rPr>
      </w:pPr>
    </w:p>
    <w:p>
      <w:pPr>
        <w:ind w:left="280" w:right="779" w:firstLine="337"/>
        <w:spacing w:after="0" w:line="255" w:lineRule="auto"/>
        <w:rPr>
          <w:sz w:val="20"/>
          <w:szCs w:val="20"/>
          <w:color w:val="auto"/>
        </w:rPr>
      </w:pPr>
      <w:r>
        <w:rPr>
          <w:rFonts w:ascii="Times New Roman" w:cs="Times New Roman" w:eastAsia="Times New Roman" w:hAnsi="Times New Roman"/>
          <w:sz w:val="14"/>
          <w:szCs w:val="14"/>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43" w:lineRule="exact"/>
        <w:rPr>
          <w:sz w:val="20"/>
          <w:szCs w:val="20"/>
          <w:color w:val="auto"/>
        </w:rPr>
      </w:pPr>
    </w:p>
    <w:p>
      <w:pPr>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37"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980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4980940"/>
                    </a:xfrm>
                    <a:prstGeom prst="rect">
                      <a:avLst/>
                    </a:prstGeom>
                    <a:noFill/>
                  </pic:spPr>
                </pic:pic>
              </a:graphicData>
            </a:graphic>
          </wp:anchor>
        </w:drawing>
        <w:t>SUMMARY</w:t>
      </w:r>
    </w:p>
    <w:p>
      <w:pPr>
        <w:spacing w:after="0" w:line="174" w:lineRule="exact"/>
        <w:rPr>
          <w:sz w:val="20"/>
          <w:szCs w:val="20"/>
          <w:color w:val="auto"/>
        </w:rPr>
      </w:pPr>
    </w:p>
    <w:p>
      <w:pPr>
        <w:ind w:left="420" w:right="539" w:firstLine="326"/>
        <w:spacing w:after="0" w:line="251" w:lineRule="auto"/>
        <w:rPr>
          <w:sz w:val="20"/>
          <w:szCs w:val="20"/>
          <w:color w:val="auto"/>
        </w:rPr>
      </w:pPr>
      <w:r>
        <w:rPr>
          <w:rFonts w:ascii="Times New Roman" w:cs="Times New Roman" w:eastAsia="Times New Roman" w:hAnsi="Times New Roman"/>
          <w:sz w:val="14"/>
          <w:szCs w:val="14"/>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on page 5 of this prospectus and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48" w:lineRule="exact"/>
        <w:rPr>
          <w:sz w:val="20"/>
          <w:szCs w:val="20"/>
          <w:color w:val="auto"/>
        </w:rPr>
      </w:pPr>
    </w:p>
    <w:p>
      <w:pPr>
        <w:ind w:left="420" w:right="859" w:firstLine="326"/>
        <w:spacing w:after="0" w:line="273" w:lineRule="auto"/>
        <w:rPr>
          <w:sz w:val="20"/>
          <w:szCs w:val="20"/>
          <w:color w:val="auto"/>
        </w:rPr>
      </w:pPr>
      <w:r>
        <w:rPr>
          <w:rFonts w:ascii="Times New Roman" w:cs="Times New Roman" w:eastAsia="Times New Roman" w:hAnsi="Times New Roman"/>
          <w:sz w:val="14"/>
          <w:szCs w:val="14"/>
          <w:color w:val="auto"/>
        </w:rPr>
        <w:t>Unless the context requires otherwise, references in this prospectus to the “Company,” “Design,” “we,” “us” and “our” refer to Design Therapeutics, Inc.</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74" w:lineRule="exact"/>
        <w:rPr>
          <w:sz w:val="20"/>
          <w:szCs w:val="20"/>
          <w:color w:val="auto"/>
        </w:rPr>
      </w:pPr>
    </w:p>
    <w:p>
      <w:pPr>
        <w:ind w:left="420" w:right="439" w:firstLine="326"/>
        <w:spacing w:after="0" w:line="220" w:lineRule="auto"/>
        <w:rPr>
          <w:sz w:val="20"/>
          <w:szCs w:val="20"/>
          <w:color w:val="auto"/>
        </w:rPr>
      </w:pPr>
      <w:r>
        <w:rPr>
          <w:rFonts w:ascii="Times New Roman" w:cs="Times New Roman" w:eastAsia="Times New Roman" w:hAnsi="Times New Roman"/>
          <w:sz w:val="14"/>
          <w:szCs w:val="14"/>
          <w:color w:val="auto"/>
        </w:rPr>
        <w:t>We are a clinical-stage biopharmaceutical company pioneering the research and development of GeneTAC</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molecules, which are a novel class of small-molecule gene targeted chimera therapeutic candidates designed to be disease-modifying by addressing the underlying cause of diseases caused by inherited nucleotide repeat expansion mutations. Certain diseases caused by inherited nucleotide repeat expansion, such as Friedreich ataxia (FA) and fragile X syndrome, can result in reduced gene expression and deficiency of vital proteins; in other diseases, such as myotonic dystrophy type-1 (DM1), Fuchs endothelial corneal dystrophy (FECD), and Huntington’s disease (HD), the nucleotide repeat expansions result in the generation of toxic gene products, often associated with pathological nuclear foci and broad splicing disruptions or the expression of mutant proteins that form toxic aggregates. Our GeneTAC</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small molecules are designed to selectively target expanded genetic repeat sequences, modulate gene expression either by dialing up or down mRNA transcription, depending on the cause of the disease, and restore cellular health. As a platform, we believe that GeneTAC</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molecules have broad potential applicability across currently unaddressed degenerative, monogenic nucleotide repeat expansion diseases affecting millions of individuals worldwide.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4" w:lineRule="exact"/>
        <w:rPr>
          <w:sz w:val="20"/>
          <w:szCs w:val="20"/>
          <w:color w:val="auto"/>
        </w:rPr>
      </w:pPr>
    </w:p>
    <w:p>
      <w:pPr>
        <w:ind w:left="420" w:right="659" w:firstLine="326"/>
        <w:spacing w:after="0" w:line="255" w:lineRule="auto"/>
        <w:rPr>
          <w:sz w:val="20"/>
          <w:szCs w:val="20"/>
          <w:color w:val="auto"/>
        </w:rPr>
      </w:pPr>
      <w:r>
        <w:rPr>
          <w:rFonts w:ascii="Times New Roman" w:cs="Times New Roman" w:eastAsia="Times New Roman" w:hAnsi="Times New Roman"/>
          <w:sz w:val="14"/>
          <w:szCs w:val="14"/>
          <w:color w:val="auto"/>
        </w:rPr>
        <w:t>We were incorporated under the laws of the State of Delaware on December 18, 2017. Our principal executive offices are located at 6005 Hidden Valley Road, Suite 110, Carlsbad, California 92011, and our telephone number is (858) 293-4900. Our corporate website address is www.designtx.com. Information contained on or accessible through our website is not a part of this prospectus, and the inclusion of our website address in this prospectus is an inactive textual reference only.</w:t>
      </w:r>
    </w:p>
    <w:p>
      <w:pPr>
        <w:spacing w:after="0" w:line="143" w:lineRule="exact"/>
        <w:rPr>
          <w:sz w:val="20"/>
          <w:szCs w:val="20"/>
          <w:color w:val="auto"/>
        </w:rPr>
      </w:pPr>
    </w:p>
    <w:p>
      <w:pPr>
        <w:ind w:left="420" w:right="459" w:firstLine="326"/>
        <w:spacing w:after="0" w:line="230" w:lineRule="auto"/>
        <w:rPr>
          <w:sz w:val="20"/>
          <w:szCs w:val="20"/>
          <w:color w:val="auto"/>
        </w:rPr>
      </w:pPr>
      <w:r>
        <w:rPr>
          <w:rFonts w:ascii="Times New Roman" w:cs="Times New Roman" w:eastAsia="Times New Roman" w:hAnsi="Times New Roman"/>
          <w:sz w:val="14"/>
          <w:szCs w:val="14"/>
          <w:color w:val="auto"/>
        </w:rPr>
        <w:t xml:space="preserve">This prospectus contains references to our trademarks and to trademarks belonging to other entities. Solely for convenience, trademarks and trade names referred to in this prospectus, including logos, artwork and other visual displays,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174" w:lineRule="exact"/>
        <w:rPr>
          <w:sz w:val="20"/>
          <w:szCs w:val="20"/>
          <w:color w:val="auto"/>
        </w:rPr>
      </w:pPr>
    </w:p>
    <w:p>
      <w:pPr>
        <w:ind w:left="420" w:right="579" w:firstLine="326"/>
        <w:spacing w:after="0" w:line="273" w:lineRule="auto"/>
        <w:rPr>
          <w:sz w:val="20"/>
          <w:szCs w:val="20"/>
          <w:color w:val="auto"/>
        </w:rPr>
      </w:pPr>
      <w:r>
        <w:rPr>
          <w:rFonts w:ascii="Times New Roman" w:cs="Times New Roman" w:eastAsia="Times New Roman" w:hAnsi="Times New Roman"/>
          <w:sz w:val="14"/>
          <w:szCs w:val="14"/>
          <w:color w:val="auto"/>
        </w:rPr>
        <w:t>We are a “smaller reporting company” as defined in the Securities Exchange Act of 1934, as amended (the “Exchange Act”). For so long as we qualify as a smaller reporting company, we may choose to present only</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381" w:right="1440" w:bottom="1440" w:gutter="0" w:footer="0" w:header="0"/>
        </w:sectPr>
      </w:pPr>
    </w:p>
    <w:bookmarkStart w:id="5" w:name="page6"/>
    <w:bookmarkEnd w:id="5"/>
    <w:p>
      <w:pPr>
        <w:jc w:val="both"/>
        <w:ind w:left="420" w:right="61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5059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805" cy="5059680"/>
                    </a:xfrm>
                    <a:prstGeom prst="rect">
                      <a:avLst/>
                    </a:prstGeom>
                    <a:noFill/>
                  </pic:spPr>
                </pic:pic>
              </a:graphicData>
            </a:graphic>
          </wp:anchor>
        </w:drawing>
        <w:t>the two most recent fiscal years of audited financial statements in our Annual Report on Form 10-K and will have reduced disclosure obligations regarding executive compensation and other matters. We are currently an “emerging growth company” but will cease to be one on December 31, 2026.</w:t>
      </w:r>
    </w:p>
    <w:p>
      <w:pPr>
        <w:spacing w:after="0" w:line="141" w:lineRule="exact"/>
        <w:rPr>
          <w:sz w:val="20"/>
          <w:szCs w:val="20"/>
          <w:color w:val="auto"/>
        </w:rPr>
      </w:pPr>
    </w:p>
    <w:p>
      <w:pPr>
        <w:ind w:left="420" w:right="679" w:firstLine="326"/>
        <w:spacing w:after="0" w:line="273" w:lineRule="auto"/>
        <w:rPr>
          <w:sz w:val="20"/>
          <w:szCs w:val="20"/>
          <w:color w:val="auto"/>
        </w:rPr>
      </w:pPr>
      <w:r>
        <w:rPr>
          <w:rFonts w:ascii="Times New Roman" w:cs="Times New Roman" w:eastAsia="Times New Roman" w:hAnsi="Times New Roman"/>
          <w:sz w:val="14"/>
          <w:szCs w:val="14"/>
          <w:color w:val="auto"/>
        </w:rPr>
        <w:t>As a result, the information that we provide to our stockholders may be different than what you might receive from other public reporting companies in which you hold equity interests.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Securities We May Offer</w:t>
      </w:r>
    </w:p>
    <w:p>
      <w:pPr>
        <w:spacing w:after="0" w:line="174" w:lineRule="exact"/>
        <w:rPr>
          <w:sz w:val="20"/>
          <w:szCs w:val="20"/>
          <w:color w:val="auto"/>
        </w:rPr>
      </w:pPr>
    </w:p>
    <w:p>
      <w:pPr>
        <w:ind w:left="420" w:right="439" w:firstLine="326"/>
        <w:spacing w:after="0" w:line="277" w:lineRule="auto"/>
        <w:rPr>
          <w:sz w:val="20"/>
          <w:szCs w:val="20"/>
          <w:color w:val="auto"/>
        </w:rPr>
      </w:pPr>
      <w:r>
        <w:rPr>
          <w:rFonts w:ascii="Times New Roman" w:cs="Times New Roman" w:eastAsia="Times New Roman" w:hAnsi="Times New Roman"/>
          <w:sz w:val="13"/>
          <w:szCs w:val="13"/>
          <w:color w:val="auto"/>
        </w:rPr>
        <w:t>We may offer shares of our common stock, shares of our preferred stock, debt securities and warrants to purchase any of such securities,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58" w:lineRule="exact"/>
        <w:rPr>
          <w:sz w:val="20"/>
          <w:szCs w:val="20"/>
          <w:color w:val="auto"/>
        </w:rPr>
      </w:pPr>
    </w:p>
    <w:p>
      <w:pPr>
        <w:ind w:left="1140" w:hanging="312"/>
        <w:spacing w:after="0"/>
        <w:tabs>
          <w:tab w:leader="none" w:pos="1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97" w:lineRule="exact"/>
        <w:rPr>
          <w:rFonts w:ascii="Times New Roman" w:cs="Times New Roman" w:eastAsia="Times New Roman" w:hAnsi="Times New Roman"/>
          <w:sz w:val="14"/>
          <w:szCs w:val="14"/>
          <w:color w:val="auto"/>
        </w:rPr>
      </w:pPr>
    </w:p>
    <w:p>
      <w:pPr>
        <w:ind w:left="1140" w:hanging="312"/>
        <w:spacing w:after="0"/>
        <w:tabs>
          <w:tab w:leader="none" w:pos="1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principal amount or aggregate offering price;</w:t>
      </w:r>
    </w:p>
    <w:p>
      <w:pPr>
        <w:spacing w:after="0" w:line="97" w:lineRule="exact"/>
        <w:rPr>
          <w:rFonts w:ascii="Times New Roman" w:cs="Times New Roman" w:eastAsia="Times New Roman" w:hAnsi="Times New Roman"/>
          <w:sz w:val="14"/>
          <w:szCs w:val="14"/>
          <w:color w:val="auto"/>
        </w:rPr>
      </w:pPr>
    </w:p>
    <w:p>
      <w:pPr>
        <w:ind w:left="1140" w:hanging="312"/>
        <w:spacing w:after="0"/>
        <w:tabs>
          <w:tab w:leader="none" w:pos="1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if applicable;</w:t>
      </w:r>
    </w:p>
    <w:p>
      <w:pPr>
        <w:spacing w:after="0" w:line="97" w:lineRule="exact"/>
        <w:rPr>
          <w:rFonts w:ascii="Times New Roman" w:cs="Times New Roman" w:eastAsia="Times New Roman" w:hAnsi="Times New Roman"/>
          <w:sz w:val="14"/>
          <w:szCs w:val="14"/>
          <w:color w:val="auto"/>
        </w:rPr>
      </w:pPr>
    </w:p>
    <w:p>
      <w:pPr>
        <w:ind w:left="1140" w:hanging="312"/>
        <w:spacing w:after="0"/>
        <w:tabs>
          <w:tab w:leader="none" w:pos="1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issue discount, if any;</w:t>
      </w:r>
    </w:p>
    <w:p>
      <w:pPr>
        <w:spacing w:after="0" w:line="97" w:lineRule="exact"/>
        <w:rPr>
          <w:rFonts w:ascii="Times New Roman" w:cs="Times New Roman" w:eastAsia="Times New Roman" w:hAnsi="Times New Roman"/>
          <w:sz w:val="14"/>
          <w:szCs w:val="14"/>
          <w:color w:val="auto"/>
        </w:rPr>
      </w:pPr>
    </w:p>
    <w:p>
      <w:pPr>
        <w:ind w:left="1140" w:hanging="312"/>
        <w:spacing w:after="0"/>
        <w:tabs>
          <w:tab w:leader="none" w:pos="1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and times of payment of interest or dividends, if any;</w:t>
      </w:r>
    </w:p>
    <w:p>
      <w:pPr>
        <w:spacing w:after="0" w:line="97" w:lineRule="exact"/>
        <w:rPr>
          <w:rFonts w:ascii="Times New Roman" w:cs="Times New Roman" w:eastAsia="Times New Roman" w:hAnsi="Times New Roman"/>
          <w:sz w:val="14"/>
          <w:szCs w:val="14"/>
          <w:color w:val="auto"/>
        </w:rPr>
      </w:pPr>
    </w:p>
    <w:p>
      <w:pPr>
        <w:ind w:left="1140" w:hanging="312"/>
        <w:spacing w:after="0"/>
        <w:tabs>
          <w:tab w:leader="none" w:pos="1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conversion, exchange or sinking fund terms, if any;</w:t>
      </w:r>
    </w:p>
    <w:p>
      <w:pPr>
        <w:spacing w:after="0" w:line="97" w:lineRule="exact"/>
        <w:rPr>
          <w:rFonts w:ascii="Times New Roman" w:cs="Times New Roman" w:eastAsia="Times New Roman" w:hAnsi="Times New Roman"/>
          <w:sz w:val="14"/>
          <w:szCs w:val="14"/>
          <w:color w:val="auto"/>
        </w:rPr>
      </w:pPr>
    </w:p>
    <w:p>
      <w:pPr>
        <w:ind w:left="1140" w:right="699" w:hanging="312"/>
        <w:spacing w:after="0" w:line="273" w:lineRule="auto"/>
        <w:tabs>
          <w:tab w:leader="none" w:pos="1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57" w:lineRule="exact"/>
        <w:rPr>
          <w:rFonts w:ascii="Times New Roman" w:cs="Times New Roman" w:eastAsia="Times New Roman" w:hAnsi="Times New Roman"/>
          <w:sz w:val="14"/>
          <w:szCs w:val="14"/>
          <w:color w:val="auto"/>
        </w:rPr>
      </w:pPr>
    </w:p>
    <w:p>
      <w:pPr>
        <w:ind w:left="1140" w:hanging="312"/>
        <w:spacing w:after="0"/>
        <w:tabs>
          <w:tab w:leader="none" w:pos="1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 if applicable;</w:t>
      </w:r>
    </w:p>
    <w:p>
      <w:pPr>
        <w:spacing w:after="0" w:line="97" w:lineRule="exact"/>
        <w:rPr>
          <w:rFonts w:ascii="Times New Roman" w:cs="Times New Roman" w:eastAsia="Times New Roman" w:hAnsi="Times New Roman"/>
          <w:sz w:val="14"/>
          <w:szCs w:val="14"/>
          <w:color w:val="auto"/>
        </w:rPr>
      </w:pPr>
    </w:p>
    <w:p>
      <w:pPr>
        <w:ind w:left="1140" w:hanging="312"/>
        <w:spacing w:after="0"/>
        <w:tabs>
          <w:tab w:leader="none" w:pos="1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 if any;</w:t>
      </w:r>
    </w:p>
    <w:p>
      <w:pPr>
        <w:spacing w:after="0" w:line="97" w:lineRule="exact"/>
        <w:rPr>
          <w:rFonts w:ascii="Times New Roman" w:cs="Times New Roman" w:eastAsia="Times New Roman" w:hAnsi="Times New Roman"/>
          <w:sz w:val="14"/>
          <w:szCs w:val="14"/>
          <w:color w:val="auto"/>
        </w:rPr>
      </w:pPr>
    </w:p>
    <w:p>
      <w:pPr>
        <w:ind w:left="1140" w:hanging="312"/>
        <w:spacing w:after="0"/>
        <w:tabs>
          <w:tab w:leader="none" w:pos="1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 if any; and</w:t>
      </w:r>
    </w:p>
    <w:p>
      <w:pPr>
        <w:spacing w:after="0" w:line="97" w:lineRule="exact"/>
        <w:rPr>
          <w:rFonts w:ascii="Times New Roman" w:cs="Times New Roman" w:eastAsia="Times New Roman" w:hAnsi="Times New Roman"/>
          <w:sz w:val="14"/>
          <w:szCs w:val="14"/>
          <w:color w:val="auto"/>
        </w:rPr>
      </w:pPr>
    </w:p>
    <w:p>
      <w:pPr>
        <w:ind w:left="1140" w:hanging="312"/>
        <w:spacing w:after="0"/>
        <w:tabs>
          <w:tab w:leader="none" w:pos="1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important U.S. federal income tax considerations.</w:t>
      </w:r>
    </w:p>
    <w:p>
      <w:pPr>
        <w:spacing w:after="0" w:line="170" w:lineRule="exact"/>
        <w:rPr>
          <w:sz w:val="20"/>
          <w:szCs w:val="20"/>
          <w:color w:val="auto"/>
        </w:rPr>
      </w:pPr>
    </w:p>
    <w:p>
      <w:pPr>
        <w:ind w:left="420" w:right="619" w:firstLine="326"/>
        <w:spacing w:after="0" w:line="255" w:lineRule="auto"/>
        <w:rPr>
          <w:sz w:val="20"/>
          <w:szCs w:val="20"/>
          <w:color w:val="auto"/>
        </w:rPr>
      </w:pPr>
      <w:r>
        <w:rPr>
          <w:rFonts w:ascii="Times New Roman" w:cs="Times New Roman" w:eastAsia="Times New Roman" w:hAnsi="Times New Roman"/>
          <w:sz w:val="14"/>
          <w:szCs w:val="14"/>
          <w:color w:val="auto"/>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174" w:lineRule="exact"/>
        <w:rPr>
          <w:sz w:val="20"/>
          <w:szCs w:val="20"/>
          <w:color w:val="auto"/>
        </w:rPr>
      </w:pPr>
    </w:p>
    <w:p>
      <w:pPr>
        <w:ind w:left="420" w:right="559" w:firstLine="326"/>
        <w:spacing w:after="0" w:line="259" w:lineRule="auto"/>
        <w:rPr>
          <w:sz w:val="20"/>
          <w:szCs w:val="20"/>
          <w:color w:val="auto"/>
        </w:rPr>
      </w:pPr>
      <w:r>
        <w:rPr>
          <w:rFonts w:ascii="Times New Roman" w:cs="Times New Roman" w:eastAsia="Times New Roman" w:hAnsi="Times New Roman"/>
          <w:sz w:val="14"/>
          <w:szCs w:val="14"/>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68" w:lineRule="exact"/>
        <w:rPr>
          <w:sz w:val="20"/>
          <w:szCs w:val="20"/>
          <w:color w:val="auto"/>
        </w:rPr>
      </w:pPr>
    </w:p>
    <w:p>
      <w:pPr>
        <w:ind w:left="1140" w:hanging="312"/>
        <w:spacing w:after="0"/>
        <w:tabs>
          <w:tab w:leader="none" w:pos="1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those underwriters or agents;</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385" w:right="1440" w:bottom="1440" w:gutter="0" w:footer="0" w:header="0"/>
        </w:sectPr>
      </w:pPr>
    </w:p>
    <w:bookmarkStart w:id="6" w:name="page7"/>
    <w:bookmarkEnd w:id="6"/>
    <w:p>
      <w:pPr>
        <w:ind w:left="1140" w:hanging="312"/>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468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805" cy="4468495"/>
                    </a:xfrm>
                    <a:prstGeom prst="rect">
                      <a:avLst/>
                    </a:prstGeom>
                    <a:noFill/>
                  </pic:spPr>
                </pic:pic>
              </a:graphicData>
            </a:graphic>
          </wp:anchor>
        </w:drawing>
        <w:t>applicable fees, discounts and commissions to be paid to them;</w:t>
      </w:r>
    </w:p>
    <w:p>
      <w:pPr>
        <w:spacing w:after="0" w:line="97" w:lineRule="exact"/>
        <w:rPr>
          <w:rFonts w:ascii="Times New Roman" w:cs="Times New Roman" w:eastAsia="Times New Roman" w:hAnsi="Times New Roman"/>
          <w:sz w:val="14"/>
          <w:szCs w:val="14"/>
          <w:color w:val="auto"/>
        </w:rPr>
      </w:pPr>
    </w:p>
    <w:p>
      <w:pPr>
        <w:ind w:left="1140" w:hanging="312"/>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over-allotment options, if any; and</w:t>
      </w:r>
    </w:p>
    <w:p>
      <w:pPr>
        <w:spacing w:after="0" w:line="97" w:lineRule="exact"/>
        <w:rPr>
          <w:rFonts w:ascii="Times New Roman" w:cs="Times New Roman" w:eastAsia="Times New Roman" w:hAnsi="Times New Roman"/>
          <w:sz w:val="14"/>
          <w:szCs w:val="14"/>
          <w:color w:val="auto"/>
        </w:rPr>
      </w:pPr>
    </w:p>
    <w:p>
      <w:pPr>
        <w:ind w:left="1140" w:hanging="312"/>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net proceeds to us.</w:t>
      </w:r>
    </w:p>
    <w:p>
      <w:pPr>
        <w:spacing w:after="0" w:line="166" w:lineRule="exact"/>
        <w:rPr>
          <w:sz w:val="20"/>
          <w:szCs w:val="20"/>
          <w:color w:val="auto"/>
        </w:rPr>
      </w:pPr>
    </w:p>
    <w:p>
      <w:pPr>
        <w:ind w:left="420" w:right="539" w:firstLine="326"/>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Common Stock. </w:t>
      </w:r>
      <w:r>
        <w:rPr>
          <w:rFonts w:ascii="Times New Roman" w:cs="Times New Roman" w:eastAsia="Times New Roman" w:hAnsi="Times New Roman"/>
          <w:sz w:val="14"/>
          <w:szCs w:val="14"/>
          <w:color w:val="auto"/>
        </w:rPr>
        <w:t>We may issue shares of our common stock from time to time. Holders of our common stock are entitled to one vote per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 for the election of directors and on all other matters that require stockholder approval. Subject to any preferential rights of any then outstanding preferred stock, in the event of our liquidation, dissolution or winding up, holders of our common stock are entitled to share ratably in the assets remaining after payment of liabilities and the liquidation preferences of any then outstanding preferred stock. Our common stock does not carry any preemptive rights enabling a holder to subscribe for, or receive shares of, any class of our common stock or any other securities convertible into shares of any class of our common stock, or any redemption rights.</w:t>
      </w:r>
    </w:p>
    <w:p>
      <w:pPr>
        <w:spacing w:after="0" w:line="140" w:lineRule="exact"/>
        <w:rPr>
          <w:sz w:val="20"/>
          <w:szCs w:val="20"/>
          <w:color w:val="auto"/>
        </w:rPr>
      </w:pPr>
    </w:p>
    <w:p>
      <w:pPr>
        <w:ind w:left="420" w:right="479" w:firstLine="326"/>
        <w:spacing w:after="0" w:line="274" w:lineRule="auto"/>
        <w:rPr>
          <w:sz w:val="20"/>
          <w:szCs w:val="20"/>
          <w:color w:val="auto"/>
        </w:rPr>
      </w:pPr>
      <w:r>
        <w:rPr>
          <w:rFonts w:ascii="Times New Roman" w:cs="Times New Roman" w:eastAsia="Times New Roman" w:hAnsi="Times New Roman"/>
          <w:sz w:val="13"/>
          <w:szCs w:val="13"/>
          <w:b w:val="1"/>
          <w:bCs w:val="1"/>
          <w:i w:val="1"/>
          <w:iCs w:val="1"/>
          <w:color w:val="auto"/>
        </w:rPr>
        <w:t xml:space="preserve">Preferred Stock. </w:t>
      </w:r>
      <w:r>
        <w:rPr>
          <w:rFonts w:ascii="Times New Roman" w:cs="Times New Roman" w:eastAsia="Times New Roman" w:hAnsi="Times New Roman"/>
          <w:sz w:val="13"/>
          <w:szCs w:val="13"/>
          <w:color w:val="auto"/>
        </w:rPr>
        <w:t>We may issue shares of our preferred stock from time to time, in one or more series. Under our amended and restated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certificate of incorporation, our board of directors has the authority, without further action by stockholders, to designate up to 10,000,000 shares of preferred stock in one or more series and to fix the rights, preferences, privileges, qualifications and restrictions granted to or imposed upon the preferred stock, including dividend rights, conversion rights, voting rights, rights and terms of redemption, liquidation preference and sinking fund terms, any or all of which may be greater than the rights of the common stock. To date, none of the 10,000,000 authorized shares of preferred stock have been designated by our board of directors. Convertible preferred stock will be convertible into our common stock or exchangeable for our other securities. Conversion may be mandatory or at the option of the holders of our preferred stock and would be at prescribed conversion rates.</w:t>
      </w:r>
    </w:p>
    <w:p>
      <w:pPr>
        <w:spacing w:after="0" w:line="133" w:lineRule="exact"/>
        <w:rPr>
          <w:sz w:val="20"/>
          <w:szCs w:val="20"/>
          <w:color w:val="auto"/>
        </w:rPr>
      </w:pPr>
    </w:p>
    <w:p>
      <w:pPr>
        <w:ind w:left="420" w:right="539" w:firstLine="326"/>
        <w:spacing w:after="0" w:line="251" w:lineRule="auto"/>
        <w:rPr>
          <w:sz w:val="20"/>
          <w:szCs w:val="20"/>
          <w:color w:val="auto"/>
        </w:rPr>
      </w:pPr>
      <w:r>
        <w:rPr>
          <w:rFonts w:ascii="Times New Roman" w:cs="Times New Roman" w:eastAsia="Times New Roman" w:hAnsi="Times New Roman"/>
          <w:sz w:val="14"/>
          <w:szCs w:val="14"/>
          <w:color w:val="auto"/>
        </w:rPr>
        <w:t>We will fix the rights, preferences, privileges, qualifications and restrictions of the preferred stock of each series that we sell under this prospectus and applicable prospectus supplements in the certificate of designation relating to that series. We will incorporate by reference into the registration statement of which this prospectus is a part the form of any certificate of designation that describes the terms of the series of preferred stock we are offering before the issuance of the related series of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44" w:lineRule="exact"/>
        <w:rPr>
          <w:sz w:val="20"/>
          <w:szCs w:val="20"/>
          <w:color w:val="auto"/>
        </w:rPr>
      </w:pPr>
    </w:p>
    <w:p>
      <w:pPr>
        <w:ind w:left="420" w:right="459" w:firstLine="326"/>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Debt Securities. </w:t>
      </w:r>
      <w:r>
        <w:rPr>
          <w:rFonts w:ascii="Times New Roman" w:cs="Times New Roman" w:eastAsia="Times New Roman" w:hAnsi="Times New Roman"/>
          <w:sz w:val="14"/>
          <w:szCs w:val="14"/>
          <w:color w:val="auto"/>
        </w:rPr>
        <w:t>We may issue debt securities from time to time, in one or more series, as either senior or subordinated debt or as senior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our common stock or preferred stock. Conversion may be mandatory or at the holder’s option and would be at prescribed conversion rates.</w:t>
      </w:r>
    </w:p>
    <w:p>
      <w:pPr>
        <w:spacing w:after="0" w:line="145" w:lineRule="exact"/>
        <w:rPr>
          <w:sz w:val="20"/>
          <w:szCs w:val="20"/>
          <w:color w:val="auto"/>
        </w:rPr>
      </w:pPr>
    </w:p>
    <w:p>
      <w:pPr>
        <w:ind w:left="420" w:right="479" w:firstLine="326"/>
        <w:spacing w:after="0" w:line="251" w:lineRule="auto"/>
        <w:rPr>
          <w:sz w:val="20"/>
          <w:szCs w:val="20"/>
          <w:color w:val="auto"/>
        </w:rPr>
      </w:pPr>
      <w:r>
        <w:rPr>
          <w:rFonts w:ascii="Times New Roman" w:cs="Times New Roman" w:eastAsia="Times New Roman" w:hAnsi="Times New Roman"/>
          <w:sz w:val="14"/>
          <w:szCs w:val="14"/>
          <w:color w:val="auto"/>
        </w:rPr>
        <w:t>The debt securities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385" w:right="1440" w:bottom="1440" w:gutter="0" w:footer="0" w:header="0"/>
        </w:sectPr>
      </w:pPr>
    </w:p>
    <w:bookmarkStart w:id="7" w:name="page8"/>
    <w:bookmarkEnd w:id="7"/>
    <w:p>
      <w:pPr>
        <w:ind w:left="420" w:right="439" w:firstLine="326"/>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1513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1513205"/>
                    </a:xfrm>
                    <a:prstGeom prst="rect">
                      <a:avLst/>
                    </a:prstGeom>
                    <a:noFill/>
                  </pic:spPr>
                </pic:pic>
              </a:graphicData>
            </a:graphic>
          </wp:anchor>
        </w:drawing>
        <w:t xml:space="preserve">Warrants. </w:t>
      </w:r>
      <w:r>
        <w:rPr>
          <w:rFonts w:ascii="Times New Roman" w:cs="Times New Roman" w:eastAsia="Times New Roman" w:hAnsi="Times New Roman"/>
          <w:sz w:val="13"/>
          <w:szCs w:val="13"/>
          <w:color w:val="auto"/>
        </w:rPr>
        <w:t>We may issue warrants for the purchase of common stock, preferred stock and/or debt securities in one or more series. We may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issue 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w:t>
      </w:r>
    </w:p>
    <w:p>
      <w:pPr>
        <w:spacing w:after="0" w:line="133" w:lineRule="exact"/>
        <w:rPr>
          <w:sz w:val="20"/>
          <w:szCs w:val="20"/>
          <w:color w:val="auto"/>
        </w:rPr>
      </w:pPr>
    </w:p>
    <w:p>
      <w:pPr>
        <w:jc w:val="both"/>
        <w:ind w:left="420" w:right="779" w:firstLine="326"/>
        <w:spacing w:after="0" w:line="259" w:lineRule="auto"/>
        <w:rPr>
          <w:sz w:val="20"/>
          <w:szCs w:val="20"/>
          <w:color w:val="auto"/>
        </w:rPr>
      </w:pPr>
      <w:r>
        <w:rPr>
          <w:rFonts w:ascii="Times New Roman" w:cs="Times New Roman" w:eastAsia="Times New Roman" w:hAnsi="Times New Roman"/>
          <w:sz w:val="14"/>
          <w:szCs w:val="14"/>
          <w:color w:val="auto"/>
        </w:rPr>
        <w:t>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381"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RISK FACTORS</w:t>
      </w:r>
    </w:p>
    <w:p>
      <w:pPr>
        <w:spacing w:after="0" w:line="174" w:lineRule="exact"/>
        <w:rPr>
          <w:sz w:val="20"/>
          <w:szCs w:val="20"/>
          <w:color w:val="auto"/>
        </w:rPr>
      </w:pPr>
    </w:p>
    <w:p>
      <w:pPr>
        <w:ind w:left="280" w:right="339" w:firstLine="337"/>
        <w:spacing w:after="0" w:line="250"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as updated by our most recent subsequently filed Quarterly Report on Form 10-Q and other reports and documents that are incorporated by reference into this prospectus and the applicable prospectus supplement,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7"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SPECIAL NOTE REGARDING FORWARD-LOOKING STATEMENTS</w:t>
      </w:r>
    </w:p>
    <w:p>
      <w:pPr>
        <w:spacing w:after="0" w:line="174" w:lineRule="exact"/>
        <w:rPr>
          <w:sz w:val="20"/>
          <w:szCs w:val="20"/>
          <w:color w:val="auto"/>
        </w:rPr>
      </w:pPr>
    </w:p>
    <w:p>
      <w:pPr>
        <w:ind w:left="280" w:right="319" w:firstLine="337"/>
        <w:spacing w:after="0" w:line="248" w:lineRule="auto"/>
        <w:rPr>
          <w:sz w:val="20"/>
          <w:szCs w:val="20"/>
          <w:color w:val="auto"/>
        </w:rPr>
      </w:pPr>
      <w:r>
        <w:rPr>
          <w:rFonts w:ascii="Times New Roman" w:cs="Times New Roman" w:eastAsia="Times New Roman" w:hAnsi="Times New Roman"/>
          <w:sz w:val="14"/>
          <w:szCs w:val="14"/>
          <w:color w:val="auto"/>
        </w:rPr>
        <w:t>Statements contained in this prospectus, the applicable prospectus supplement and in the documents incorporated by reference herein and therein that are not strictly historical in nature are forward-looking statements within the meaning of Section 27A of the Securities Act of 1933, as amended (the “Securities Act”), and within the meaning of Section 21E of the Securities Exchange Act of 1934, as amended (the “Exchange Act”). These forward-looking statements are subject to the “safe harbor” created by Section 27A of the Securities Act and Section 21E of the Exchange Act and may include, but are not limited to, statements about our strategy, future financial condition, future operations, research and development, ongoing and planned clinical trials and preclinical studies, the timing and likelihood of regulatory filings and approvals for our product candidates, our ability to commercialize our product candidates, the potential benefits of collaborations, projected costs, prospects, plans, objectives of management and expected market growth. In some cases, you can identify forward-looking statements by terms such as “anticipates,” “believes,” “could,” “estimates,” “expects,” “goal,” “intends,” “may,” “plans,” “potential,” “predicts,” “projects,” “should,” “will,” “would,” the negative of these words and words or similar expressions intended to identify forward-looking statements.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1" w:lineRule="exact"/>
        <w:rPr>
          <w:sz w:val="20"/>
          <w:szCs w:val="20"/>
          <w:color w:val="auto"/>
        </w:rPr>
      </w:pPr>
    </w:p>
    <w:p>
      <w:pPr>
        <w:ind w:left="280" w:right="299" w:firstLine="337"/>
        <w:spacing w:after="0" w:line="249" w:lineRule="auto"/>
        <w:rPr>
          <w:sz w:val="20"/>
          <w:szCs w:val="20"/>
          <w:color w:val="auto"/>
        </w:rPr>
      </w:pPr>
      <w:r>
        <w:rPr>
          <w:rFonts w:ascii="Times New Roman" w:cs="Times New Roman" w:eastAsia="Times New Roman" w:hAnsi="Times New Roman"/>
          <w:sz w:val="14"/>
          <w:szCs w:val="14"/>
          <w:color w:val="auto"/>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in the documents incorporated by reference herein and in any prospectus supplement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you should carefully consider the risk factors discussed herein or incorporated by reference, in addition to the other information set forth in this prospectus, any accompanying prospectus supplement or free writing prospectus and in the documents incorporated by reference.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7"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USE OF PROCEEDS</w:t>
      </w:r>
    </w:p>
    <w:p>
      <w:pPr>
        <w:spacing w:after="0" w:line="174" w:lineRule="exact"/>
        <w:rPr>
          <w:sz w:val="20"/>
          <w:szCs w:val="20"/>
          <w:color w:val="auto"/>
        </w:rPr>
      </w:pPr>
    </w:p>
    <w:p>
      <w:pPr>
        <w:ind w:left="280" w:right="299" w:firstLine="337"/>
        <w:spacing w:after="0" w:line="250" w:lineRule="auto"/>
        <w:rPr>
          <w:sz w:val="20"/>
          <w:szCs w:val="20"/>
          <w:color w:val="auto"/>
        </w:rPr>
      </w:pPr>
      <w:r>
        <w:rPr>
          <w:rFonts w:ascii="Times New Roman" w:cs="Times New Roman" w:eastAsia="Times New Roman" w:hAnsi="Times New Roman"/>
          <w:sz w:val="14"/>
          <w:szCs w:val="14"/>
          <w:color w:val="auto"/>
        </w:rPr>
        <w:t>Except as described in any prospectus supplement or in any related free writing prospectus that we may authorize to be provided to you, we currently intend to use the net proceeds from the sale of securities under this prospectus for general corporate purposes, including research and development expenses, clinical trial expenses, capital expenditures and general and administrative expenses. We may also use a portion of the net proceeds to in-license, invest in or acquire businesses, assets or technologies that we believe are complementary to our own, although we have no current plans, commitments or agreements with respect to any acquisitions. As of the date of this prospectus, we cannot specify with certainty all of the particular uses of the net proceeds from the sale of securities under this prospectus. Accordingly, we will retain broad discretion over the use of such proceeds. Pending the use of the net proceeds from the sale of securities under this prospectus as described above, we intend to invest the net proceeds in short and intermediate-term, interest-bearing obligations, investment-grade instruments, certificates of deposit or direct or guaranteed obligations of the U.S. government.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7"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CAPITAL STOCK</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280" w:right="719" w:firstLine="337"/>
        <w:spacing w:after="0" w:line="273" w:lineRule="auto"/>
        <w:rPr>
          <w:sz w:val="20"/>
          <w:szCs w:val="20"/>
          <w:color w:val="auto"/>
        </w:rPr>
      </w:pPr>
      <w:r>
        <w:rPr>
          <w:rFonts w:ascii="Times New Roman" w:cs="Times New Roman" w:eastAsia="Times New Roman" w:hAnsi="Times New Roman"/>
          <w:sz w:val="14"/>
          <w:szCs w:val="14"/>
          <w:color w:val="auto"/>
        </w:rPr>
        <w:t>Our authorized capital stock consists of 200,000,000 shares of common stock, $0.0001 par value, and 10,000,000 shares of preferred stock, $0.0001 par value. All of our authorized preferred stock is undesignated.</w:t>
      </w:r>
    </w:p>
    <w:p>
      <w:pPr>
        <w:spacing w:after="0" w:line="130" w:lineRule="exact"/>
        <w:rPr>
          <w:sz w:val="20"/>
          <w:szCs w:val="20"/>
          <w:color w:val="auto"/>
        </w:rPr>
      </w:pPr>
    </w:p>
    <w:p>
      <w:pPr>
        <w:ind w:left="280" w:right="359" w:firstLine="337"/>
        <w:spacing w:after="0" w:line="251" w:lineRule="auto"/>
        <w:rPr>
          <w:sz w:val="20"/>
          <w:szCs w:val="20"/>
          <w:color w:val="auto"/>
        </w:rPr>
      </w:pPr>
      <w:r>
        <w:rPr>
          <w:rFonts w:ascii="Times New Roman" w:cs="Times New Roman" w:eastAsia="Times New Roman" w:hAnsi="Times New Roman"/>
          <w:sz w:val="14"/>
          <w:szCs w:val="14"/>
          <w:color w:val="auto"/>
        </w:rPr>
        <w:t>The following summary description of our capital stock is based on the provisions of our amended and restated certificate of incorporation and amended and restated bylaws and the applicable provisions of the Delaware General Corporation Law (the “DGCL”). This information is qualified entirely by reference to the applicable provisions of our amended and restated certificate of incorporation, amended and restated bylaws and the DGCL. For information on how to obtain copies of our amended and restated certificate of incorporation and amended and restated bylaws, which are exhibits to the registration statement of which this prospectus is a part, see “Where You Can Find More Information” and “Incorporation of Certain Information Reference.”</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1" w:lineRule="exact"/>
        <w:rPr>
          <w:sz w:val="20"/>
          <w:szCs w:val="20"/>
          <w:color w:val="auto"/>
        </w:rPr>
      </w:pPr>
    </w:p>
    <w:p>
      <w:pPr>
        <w:ind w:left="280" w:right="359" w:firstLine="337"/>
        <w:spacing w:after="0" w:line="253" w:lineRule="auto"/>
        <w:rPr>
          <w:sz w:val="20"/>
          <w:szCs w:val="20"/>
          <w:color w:val="auto"/>
        </w:rPr>
      </w:pPr>
      <w:r>
        <w:rPr>
          <w:rFonts w:ascii="Times New Roman" w:cs="Times New Roman" w:eastAsia="Times New Roman" w:hAnsi="Times New Roman"/>
          <w:sz w:val="14"/>
          <w:szCs w:val="14"/>
          <w:color w:val="auto"/>
        </w:rPr>
        <w:t>Each holder of common stock is entitled to one vote for each share on all matters submitted to a vote of the stockholders. The affirmative vote of holders of at least 66 2/3%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structure of our board of directors, the size of our board of directors, removal of directors, director liability, vacancies on our board of directors, special meetings, stockholder notices, actions by written consent and exclusive jurisdiction.</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1" w:lineRule="exact"/>
        <w:rPr>
          <w:sz w:val="20"/>
          <w:szCs w:val="20"/>
          <w:color w:val="auto"/>
        </w:rPr>
      </w:pPr>
    </w:p>
    <w:p>
      <w:pPr>
        <w:ind w:left="280" w:right="839" w:firstLine="337"/>
        <w:spacing w:after="0" w:line="273" w:lineRule="auto"/>
        <w:rPr>
          <w:sz w:val="20"/>
          <w:szCs w:val="20"/>
          <w:color w:val="auto"/>
        </w:rPr>
      </w:pPr>
      <w:r>
        <w:rPr>
          <w:rFonts w:ascii="Times New Roman" w:cs="Times New Roman" w:eastAsia="Times New Roman" w:hAnsi="Times New Roman"/>
          <w:sz w:val="14"/>
          <w:szCs w:val="14"/>
          <w:color w:val="auto"/>
        </w:rPr>
        <w:t>Subject to preferences that may apply to any outstanding preferred stock, holders of our common stock are entitled to receive ratably any dividends that our board of directors may declare out of funds legally available for that purpose on a non-cumulative basis.</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91" w:lineRule="exact"/>
        <w:rPr>
          <w:sz w:val="20"/>
          <w:szCs w:val="20"/>
          <w:color w:val="auto"/>
        </w:rPr>
      </w:pPr>
    </w:p>
    <w:p>
      <w:pPr>
        <w:ind w:left="280" w:right="519" w:firstLine="337"/>
        <w:spacing w:after="0" w:line="259"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Rights and Preferences</w:t>
      </w:r>
    </w:p>
    <w:p>
      <w:pPr>
        <w:spacing w:after="0" w:line="91" w:lineRule="exact"/>
        <w:rPr>
          <w:sz w:val="20"/>
          <w:szCs w:val="20"/>
          <w:color w:val="auto"/>
        </w:rPr>
      </w:pPr>
    </w:p>
    <w:p>
      <w:pPr>
        <w:ind w:left="280" w:right="299" w:firstLine="337"/>
        <w:spacing w:after="0" w:line="259" w:lineRule="auto"/>
        <w:rPr>
          <w:sz w:val="20"/>
          <w:szCs w:val="20"/>
          <w:color w:val="auto"/>
        </w:rPr>
      </w:pPr>
      <w:r>
        <w:rPr>
          <w:rFonts w:ascii="Times New Roman" w:cs="Times New Roman" w:eastAsia="Times New Roman" w:hAnsi="Times New Roman"/>
          <w:sz w:val="14"/>
          <w:szCs w:val="14"/>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Fully Paid and Nonassessable</w:t>
      </w:r>
    </w:p>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All of our outstanding shares of common stock are fully paid and nonassessable.</w:t>
      </w:r>
    </w:p>
    <w:p>
      <w:pPr>
        <w:spacing w:after="0" w:line="2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w:t>
      </w:r>
    </w:p>
    <w:p>
      <w:pPr>
        <w:spacing w:after="0" w:line="91" w:lineRule="exact"/>
        <w:rPr>
          <w:sz w:val="20"/>
          <w:szCs w:val="20"/>
          <w:color w:val="auto"/>
        </w:rPr>
      </w:pPr>
    </w:p>
    <w:p>
      <w:pPr>
        <w:ind w:left="280" w:right="379" w:firstLine="337"/>
        <w:spacing w:after="0" w:line="273" w:lineRule="auto"/>
        <w:rPr>
          <w:sz w:val="20"/>
          <w:szCs w:val="20"/>
          <w:color w:val="auto"/>
        </w:rPr>
      </w:pPr>
      <w:r>
        <w:rPr>
          <w:rFonts w:ascii="Times New Roman" w:cs="Times New Roman" w:eastAsia="Times New Roman" w:hAnsi="Times New Roman"/>
          <w:sz w:val="14"/>
          <w:szCs w:val="14"/>
          <w:color w:val="auto"/>
        </w:rPr>
        <w:t>Certain holders of shares of our common stock, including certain holders of more than five percent of our capital stock and entities affiliated with certain of our directors, are entitled to certain rights with respect to</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7" w:right="1440" w:bottom="1440" w:gutter="0" w:footer="0" w:header="0"/>
        </w:sectPr>
      </w:pPr>
    </w:p>
    <w:bookmarkStart w:id="12" w:name="page13"/>
    <w:bookmarkEnd w:id="12"/>
    <w:p>
      <w:pPr>
        <w:ind w:left="280" w:right="35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registration of the shares of common stock that were issued upon conversion of our convertible preferred stock in connection with our initial public offering in March 2021. These shares are referred to as registrable securities. The holders of these registrable securities possess registration rights pursuant to the terms of an investors’ rights agreement with us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stock transfer taxes and certain fees and disbursements of counsel for the selling holders, of the shares registered pursuant to the demand, piggyback and Form S-3 registrations described below.</w:t>
      </w:r>
    </w:p>
    <w:p>
      <w:pPr>
        <w:spacing w:after="0" w:line="145" w:lineRule="exact"/>
        <w:rPr>
          <w:sz w:val="20"/>
          <w:szCs w:val="20"/>
          <w:color w:val="auto"/>
        </w:rPr>
      </w:pPr>
    </w:p>
    <w:p>
      <w:pPr>
        <w:ind w:left="280" w:right="419" w:firstLine="337"/>
        <w:spacing w:after="0" w:line="255" w:lineRule="auto"/>
        <w:rPr>
          <w:sz w:val="20"/>
          <w:szCs w:val="20"/>
          <w:color w:val="auto"/>
        </w:rPr>
      </w:pPr>
      <w:r>
        <w:rPr>
          <w:rFonts w:ascii="Times New Roman" w:cs="Times New Roman" w:eastAsia="Times New Roman" w:hAnsi="Times New Roman"/>
          <w:sz w:val="14"/>
          <w:szCs w:val="14"/>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expire upon the earliest to occur of (i) the fifth anniversary of the date of the investors’ rights agreements; and (ii) with respect to any particular holder, at such time that such holder can sell its shares under Rule 144 of the Securities Act or another similar exemption during any three-month period.</w:t>
      </w:r>
    </w:p>
    <w:p>
      <w:pPr>
        <w:spacing w:after="0" w:line="2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Demand Registration Rights</w:t>
      </w:r>
    </w:p>
    <w:p>
      <w:pPr>
        <w:spacing w:after="0" w:line="91" w:lineRule="exact"/>
        <w:rPr>
          <w:sz w:val="20"/>
          <w:szCs w:val="20"/>
          <w:color w:val="auto"/>
        </w:rPr>
      </w:pPr>
    </w:p>
    <w:p>
      <w:pPr>
        <w:ind w:left="280" w:right="439" w:firstLine="337"/>
        <w:spacing w:after="0" w:line="253" w:lineRule="auto"/>
        <w:rPr>
          <w:sz w:val="20"/>
          <w:szCs w:val="20"/>
          <w:color w:val="auto"/>
        </w:rPr>
      </w:pPr>
      <w:r>
        <w:rPr>
          <w:rFonts w:ascii="Times New Roman" w:cs="Times New Roman" w:eastAsia="Times New Roman" w:hAnsi="Times New Roman"/>
          <w:sz w:val="14"/>
          <w:szCs w:val="14"/>
          <w:color w:val="auto"/>
        </w:rPr>
        <w:t>The holders of registrable securities are entitled to certain demand registration rights. Certain investors holding, collectively, at least 50% of registrable securities then outstanding may, on not more than two occasions, request that we register all or a portion of their shares, subject to certain specified exceptions. If any of these holders exercises its demand registration rights, then holders of all registrable securities will be entitled to register their shares, subject to specified conditions and limitations, in the corresponding offering. Such request for registration must cover shares with an anticipated aggregate offering price of at least $10.0 million.</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Piggyback Registration Rights</w:t>
      </w:r>
    </w:p>
    <w:p>
      <w:pPr>
        <w:spacing w:after="0" w:line="91"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In connection with the filing of the registration statement of which this prospectus is a part, the holders of registrable securities were entitled to receive notice of such filing and the right to include their shares of registrable securities in such registration statement. The requisite percentage of these stockholders have waived all such stockholders’ rights to notice and to include their shares of registrable securities in the registration statement of which this prospectus is a part. In the event that we propose to register any of our securities under the Securities Act in another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S-3 Registration Rights</w:t>
      </w:r>
    </w:p>
    <w:p>
      <w:pPr>
        <w:spacing w:after="0" w:line="91" w:lineRule="exact"/>
        <w:rPr>
          <w:sz w:val="20"/>
          <w:szCs w:val="20"/>
          <w:color w:val="auto"/>
        </w:rPr>
      </w:pPr>
    </w:p>
    <w:p>
      <w:pPr>
        <w:ind w:left="280" w:right="359" w:firstLine="337"/>
        <w:spacing w:after="0" w:line="253" w:lineRule="auto"/>
        <w:rPr>
          <w:sz w:val="20"/>
          <w:szCs w:val="20"/>
          <w:color w:val="auto"/>
        </w:rPr>
      </w:pPr>
      <w:r>
        <w:rPr>
          <w:rFonts w:ascii="Times New Roman" w:cs="Times New Roman" w:eastAsia="Times New Roman" w:hAnsi="Times New Roman"/>
          <w:sz w:val="14"/>
          <w:szCs w:val="14"/>
          <w:color w:val="auto"/>
        </w:rPr>
        <w:t>The holders of registrable securities are entitled to certain Form S-3 registration rights. Certain investors may, on not more than two registrations on Form S-3 within any 12-month period, request that we register all or a portion of their shares on Form S-3 if we are qualified to file a registration statement on Form S-3, subject to specified exceptions. Such request for registration on Form S-3 must cover securities with an aggregate offering price which equals at least $3.0 million, net of selling expenses. The right to have such shares registered on Form S-3 is further subject to other specified conditions and limitations.</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1" w:lineRule="exact"/>
        <w:rPr>
          <w:sz w:val="20"/>
          <w:szCs w:val="20"/>
          <w:color w:val="auto"/>
        </w:rPr>
      </w:pPr>
    </w:p>
    <w:p>
      <w:pPr>
        <w:ind w:left="280" w:right="399" w:firstLine="337"/>
        <w:spacing w:after="0" w:line="255" w:lineRule="auto"/>
        <w:rPr>
          <w:sz w:val="20"/>
          <w:szCs w:val="20"/>
          <w:color w:val="auto"/>
        </w:rPr>
      </w:pPr>
      <w:r>
        <w:rPr>
          <w:rFonts w:ascii="Times New Roman" w:cs="Times New Roman" w:eastAsia="Times New Roman" w:hAnsi="Times New Roman"/>
          <w:sz w:val="14"/>
          <w:szCs w:val="14"/>
          <w:color w:val="auto"/>
        </w:rPr>
        <w:t>Pursuant to our certificate of incorporation, our board of directors has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1" w:right="1440" w:bottom="1440" w:gutter="0" w:footer="0" w:header="0"/>
        </w:sectPr>
      </w:pPr>
    </w:p>
    <w:bookmarkStart w:id="13" w:name="page14"/>
    <w:bookmarkEnd w:id="13"/>
    <w:p>
      <w:pPr>
        <w:jc w:val="both"/>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71" w:lineRule="exact"/>
        <w:rPr>
          <w:sz w:val="20"/>
          <w:szCs w:val="20"/>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we are offering;</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 per share;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per share;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per share, dividend period, payment date or dates and method of calculation for dividends;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will be cumulative or non-cumulative and, if cumulative, the date from which dividends will accumulate;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dividends and the maximum length of any such deferral period;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any auction and remarketing, if any;</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a sinking fund, if any;</w:t>
      </w:r>
    </w:p>
    <w:p>
      <w:pPr>
        <w:spacing w:after="0" w:line="97" w:lineRule="exact"/>
        <w:rPr>
          <w:rFonts w:ascii="Times New Roman" w:cs="Times New Roman" w:eastAsia="Times New Roman" w:hAnsi="Times New Roman"/>
          <w:sz w:val="14"/>
          <w:szCs w:val="14"/>
          <w:color w:val="auto"/>
        </w:rPr>
      </w:pPr>
    </w:p>
    <w:p>
      <w:pPr>
        <w:ind w:left="1020" w:right="419" w:hanging="322"/>
        <w:spacing w:after="0" w:line="273" w:lineRule="auto"/>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redemption or repurchase, if applicable, and any restrictions on our ability to exercise those redemption and repurchase rights;</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the preferred stock on any securities exchange or market;</w:t>
      </w:r>
    </w:p>
    <w:p>
      <w:pPr>
        <w:spacing w:after="0" w:line="97" w:lineRule="exact"/>
        <w:rPr>
          <w:rFonts w:ascii="Times New Roman" w:cs="Times New Roman" w:eastAsia="Times New Roman" w:hAnsi="Times New Roman"/>
          <w:sz w:val="14"/>
          <w:szCs w:val="14"/>
          <w:color w:val="auto"/>
        </w:rPr>
      </w:pPr>
    </w:p>
    <w:p>
      <w:pPr>
        <w:ind w:left="1020" w:right="299" w:hanging="322"/>
        <w:spacing w:after="0" w:line="259" w:lineRule="auto"/>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convertible into our common stock or other securities of ours, including warrants, and, if applicable, the conversion price, or how it will be calculated, and under what circumstances and the mechanism by which it may be adjusted, and the conversion period;</w:t>
      </w:r>
    </w:p>
    <w:p>
      <w:pPr>
        <w:spacing w:after="0" w:line="68" w:lineRule="exact"/>
        <w:rPr>
          <w:rFonts w:ascii="Times New Roman" w:cs="Times New Roman" w:eastAsia="Times New Roman" w:hAnsi="Times New Roman"/>
          <w:sz w:val="14"/>
          <w:szCs w:val="14"/>
          <w:color w:val="auto"/>
        </w:rPr>
      </w:pPr>
    </w:p>
    <w:p>
      <w:pPr>
        <w:ind w:left="1020" w:right="459" w:hanging="322"/>
        <w:spacing w:after="0" w:line="273" w:lineRule="auto"/>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exchangeable into debt securities or other securities of ours, and, if applicable, the exchange price, or how it will be calculated, and under what circumstances it may be adjusted, and the exchange period;</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 if any;</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preemptive rights, if any;</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or other assignment, if any;</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interests in the preferred stock will be represented by depositary shares;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or special U.S. federal income tax considerations applicable to the preferred stock;</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ranking and preferences of the preferred stock as to dividend rights and rights if we liquidate, dissolve or wind up our affairs;</w:t>
      </w:r>
    </w:p>
    <w:p>
      <w:pPr>
        <w:spacing w:after="0" w:line="97" w:lineRule="exact"/>
        <w:rPr>
          <w:rFonts w:ascii="Times New Roman" w:cs="Times New Roman" w:eastAsia="Times New Roman" w:hAnsi="Times New Roman"/>
          <w:sz w:val="14"/>
          <w:szCs w:val="14"/>
          <w:color w:val="auto"/>
        </w:rPr>
      </w:pPr>
    </w:p>
    <w:p>
      <w:pPr>
        <w:ind w:left="1020" w:right="419" w:hanging="322"/>
        <w:spacing w:after="0" w:line="273" w:lineRule="auto"/>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issuances of any class or series of preferred stock ranking senior to or on parity with the series of preferred stock being issued as to dividend rights and rights if we liquidate, dissolve or wind up our affairs; and</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rights, preferences, privileges, qualifications or limitations of, or restrictions on the preferred stock.</w:t>
      </w:r>
    </w:p>
    <w:p>
      <w:pPr>
        <w:spacing w:after="0" w:line="170" w:lineRule="exact"/>
        <w:rPr>
          <w:sz w:val="20"/>
          <w:szCs w:val="20"/>
          <w:color w:val="auto"/>
        </w:rPr>
      </w:pPr>
    </w:p>
    <w:p>
      <w:pPr>
        <w:ind w:left="280" w:right="739" w:firstLine="337"/>
        <w:spacing w:after="0" w:line="273" w:lineRule="auto"/>
        <w:rPr>
          <w:sz w:val="20"/>
          <w:szCs w:val="20"/>
          <w:color w:val="auto"/>
        </w:rPr>
      </w:pPr>
      <w:r>
        <w:rPr>
          <w:rFonts w:ascii="Times New Roman" w:cs="Times New Roman" w:eastAsia="Times New Roman" w:hAnsi="Times New Roman"/>
          <w:sz w:val="14"/>
          <w:szCs w:val="14"/>
          <w:color w:val="auto"/>
        </w:rPr>
        <w:t>The DGCL provides that the holders of preferred stock will have the right to vote separately as a class (or, in some cases, as a series) on an amendment to our certificate of incorporation if the amendment would change the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1" w:right="1440" w:bottom="1440" w:gutter="0" w:footer="0" w:header="0"/>
        </w:sectPr>
      </w:pPr>
    </w:p>
    <w:bookmarkStart w:id="14" w:name="page15"/>
    <w:bookmarkEnd w:id="14"/>
    <w:p>
      <w:pPr>
        <w:ind w:left="280" w:right="29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41" w:lineRule="exact"/>
        <w:rPr>
          <w:sz w:val="20"/>
          <w:szCs w:val="20"/>
          <w:color w:val="auto"/>
        </w:rPr>
      </w:pPr>
    </w:p>
    <w:p>
      <w:pPr>
        <w:ind w:left="280" w:right="359" w:firstLine="337"/>
        <w:spacing w:after="0" w:line="253" w:lineRule="auto"/>
        <w:rPr>
          <w:sz w:val="20"/>
          <w:szCs w:val="20"/>
          <w:color w:val="auto"/>
        </w:rPr>
      </w:pPr>
      <w:r>
        <w:rPr>
          <w:rFonts w:ascii="Times New Roman" w:cs="Times New Roman" w:eastAsia="Times New Roman" w:hAnsi="Times New Roman"/>
          <w:sz w:val="14"/>
          <w:szCs w:val="14"/>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w:t>
      </w:r>
    </w:p>
    <w:p>
      <w:pPr>
        <w:spacing w:after="0" w:line="223" w:lineRule="exact"/>
        <w:rPr>
          <w:sz w:val="20"/>
          <w:szCs w:val="20"/>
          <w:color w:val="auto"/>
        </w:rPr>
      </w:pPr>
    </w:p>
    <w:p>
      <w:pPr>
        <w:ind w:left="280" w:right="479"/>
        <w:spacing w:after="0" w:line="372" w:lineRule="auto"/>
        <w:rPr>
          <w:sz w:val="20"/>
          <w:szCs w:val="20"/>
          <w:color w:val="auto"/>
        </w:rPr>
      </w:pPr>
      <w:r>
        <w:rPr>
          <w:rFonts w:ascii="Times New Roman" w:cs="Times New Roman" w:eastAsia="Times New Roman" w:hAnsi="Times New Roman"/>
          <w:sz w:val="14"/>
          <w:szCs w:val="14"/>
          <w:b w:val="1"/>
          <w:bCs w:val="1"/>
          <w:color w:val="auto"/>
        </w:rPr>
        <w:t xml:space="preserve">Anti-Takeover Provisions of Delaware Law and Our Amended and Restated Certificate of Incorporation and Amended and Restated Bylaws </w:t>
      </w:r>
      <w:r>
        <w:rPr>
          <w:rFonts w:ascii="Times New Roman" w:cs="Times New Roman" w:eastAsia="Times New Roman" w:hAnsi="Times New Roman"/>
          <w:sz w:val="14"/>
          <w:szCs w:val="14"/>
          <w:b w:val="1"/>
          <w:bCs w:val="1"/>
          <w:i w:val="1"/>
          <w:iCs w:val="1"/>
          <w:color w:val="auto"/>
        </w:rPr>
        <w:t>Section 203 of the Delaware General Corporation Law</w:t>
      </w:r>
    </w:p>
    <w:p>
      <w:pPr>
        <w:spacing w:after="0" w:line="1" w:lineRule="exact"/>
        <w:rPr>
          <w:sz w:val="20"/>
          <w:szCs w:val="20"/>
          <w:color w:val="auto"/>
        </w:rPr>
      </w:pPr>
    </w:p>
    <w:p>
      <w:pPr>
        <w:jc w:val="both"/>
        <w:ind w:left="280" w:right="419" w:firstLine="337"/>
        <w:spacing w:after="0" w:line="259" w:lineRule="auto"/>
        <w:rPr>
          <w:sz w:val="20"/>
          <w:szCs w:val="20"/>
          <w:color w:val="auto"/>
        </w:rPr>
      </w:pPr>
      <w:r>
        <w:rPr>
          <w:rFonts w:ascii="Times New Roman" w:cs="Times New Roman" w:eastAsia="Times New Roman" w:hAnsi="Times New Roman"/>
          <w:sz w:val="14"/>
          <w:szCs w:val="14"/>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68" w:lineRule="exact"/>
        <w:rPr>
          <w:sz w:val="20"/>
          <w:szCs w:val="20"/>
          <w:color w:val="auto"/>
        </w:rPr>
      </w:pPr>
    </w:p>
    <w:p>
      <w:pPr>
        <w:ind w:left="1020" w:right="439" w:hanging="322"/>
        <w:spacing w:after="0" w:line="273"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such date, the board of directors of the corporation approved either the business combination or the transaction that resulted in the stockholder becoming an interested stockholder;</w:t>
      </w:r>
    </w:p>
    <w:p>
      <w:pPr>
        <w:spacing w:after="0" w:line="57" w:lineRule="exact"/>
        <w:rPr>
          <w:rFonts w:ascii="Times New Roman" w:cs="Times New Roman" w:eastAsia="Times New Roman" w:hAnsi="Times New Roman"/>
          <w:sz w:val="14"/>
          <w:szCs w:val="14"/>
          <w:color w:val="auto"/>
        </w:rPr>
      </w:pPr>
    </w:p>
    <w:p>
      <w:pPr>
        <w:ind w:left="1020" w:right="319" w:hanging="322"/>
        <w:spacing w:after="0" w:line="253"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1" w:lineRule="exact"/>
        <w:rPr>
          <w:rFonts w:ascii="Times New Roman" w:cs="Times New Roman" w:eastAsia="Times New Roman" w:hAnsi="Times New Roman"/>
          <w:sz w:val="14"/>
          <w:szCs w:val="14"/>
          <w:color w:val="auto"/>
        </w:rPr>
      </w:pPr>
    </w:p>
    <w:p>
      <w:pPr>
        <w:ind w:left="1020" w:right="399" w:hanging="322"/>
        <w:spacing w:after="0" w:line="259"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Section 203 defines a “business combination” to include the following:</w:t>
      </w:r>
    </w:p>
    <w:p>
      <w:pPr>
        <w:spacing w:after="0" w:line="98" w:lineRule="exact"/>
        <w:rPr>
          <w:sz w:val="20"/>
          <w:szCs w:val="20"/>
          <w:color w:val="auto"/>
        </w:rPr>
      </w:pPr>
    </w:p>
    <w:p>
      <w:pPr>
        <w:ind w:left="1020" w:hanging="322"/>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pledge or other disposition of 10% or more of the assets of the corporation involving the interested stockholder;</w:t>
      </w:r>
    </w:p>
    <w:p>
      <w:pPr>
        <w:spacing w:after="0" w:line="97" w:lineRule="exact"/>
        <w:rPr>
          <w:rFonts w:ascii="Times New Roman" w:cs="Times New Roman" w:eastAsia="Times New Roman" w:hAnsi="Times New Roman"/>
          <w:sz w:val="14"/>
          <w:szCs w:val="14"/>
          <w:color w:val="auto"/>
        </w:rPr>
      </w:pPr>
    </w:p>
    <w:p>
      <w:pPr>
        <w:ind w:left="1020" w:right="319" w:hanging="322"/>
        <w:spacing w:after="0" w:line="273"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exceptions, any transaction that results in the issuance or transfer by the corporation of any stock of the corporation to the interested stockholder;</w:t>
      </w:r>
    </w:p>
    <w:p>
      <w:pPr>
        <w:spacing w:after="0" w:line="57" w:lineRule="exact"/>
        <w:rPr>
          <w:rFonts w:ascii="Times New Roman" w:cs="Times New Roman" w:eastAsia="Times New Roman" w:hAnsi="Times New Roman"/>
          <w:sz w:val="14"/>
          <w:szCs w:val="14"/>
          <w:color w:val="auto"/>
        </w:rPr>
      </w:pPr>
    </w:p>
    <w:p>
      <w:pPr>
        <w:ind w:left="1020" w:right="439" w:hanging="322"/>
        <w:spacing w:after="0" w:line="273"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that has the effect of increasing the proportionate share of the stock or any class or series of the corporation beneficially owned by the interested stockholder; and</w:t>
      </w:r>
    </w:p>
    <w:p>
      <w:pPr>
        <w:spacing w:after="0" w:line="57" w:lineRule="exact"/>
        <w:rPr>
          <w:rFonts w:ascii="Times New Roman" w:cs="Times New Roman" w:eastAsia="Times New Roman" w:hAnsi="Times New Roman"/>
          <w:sz w:val="14"/>
          <w:szCs w:val="14"/>
          <w:color w:val="auto"/>
        </w:rPr>
      </w:pPr>
    </w:p>
    <w:p>
      <w:pPr>
        <w:ind w:left="1020" w:right="359" w:hanging="322"/>
        <w:spacing w:after="0" w:line="273"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by or through the corporation.</w:t>
      </w:r>
    </w:p>
    <w:p>
      <w:pPr>
        <w:spacing w:after="0" w:line="130" w:lineRule="exact"/>
        <w:rPr>
          <w:sz w:val="20"/>
          <w:szCs w:val="20"/>
          <w:color w:val="auto"/>
        </w:rPr>
      </w:pPr>
    </w:p>
    <w:p>
      <w:pPr>
        <w:ind w:left="280" w:right="639" w:firstLine="337"/>
        <w:spacing w:after="0" w:line="259"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15" w:name="page16"/>
    <w:bookmarkEnd w:id="15"/>
    <w:p>
      <w:pPr>
        <w:ind w:left="280" w:right="439" w:firstLine="337"/>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Certificate of Incorporation and Amended and Restated Bylaws</w:t>
      </w:r>
    </w:p>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Among other things, our amended and restated certificate of incorporation and amended and restated bylaws:</w:t>
      </w:r>
    </w:p>
    <w:p>
      <w:pPr>
        <w:spacing w:after="0" w:line="98" w:lineRule="exact"/>
        <w:rPr>
          <w:sz w:val="20"/>
          <w:szCs w:val="20"/>
          <w:color w:val="auto"/>
        </w:rPr>
      </w:pPr>
    </w:p>
    <w:p>
      <w:pPr>
        <w:ind w:left="1020" w:right="479" w:hanging="322"/>
        <w:spacing w:after="0" w:line="273"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our board of directors to issue up to 10,000,000 shares of preferred stock, with any rights, preferences and privileges as they may designate, including the right to approve an acquisition or other change in control;</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authorized number of directors may be changed only by resolution of our board of directors;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board of directors will be classified into three classes of directors;</w:t>
      </w:r>
    </w:p>
    <w:p>
      <w:pPr>
        <w:spacing w:after="0" w:line="97" w:lineRule="exact"/>
        <w:rPr>
          <w:rFonts w:ascii="Times New Roman" w:cs="Times New Roman" w:eastAsia="Times New Roman" w:hAnsi="Times New Roman"/>
          <w:sz w:val="14"/>
          <w:szCs w:val="14"/>
          <w:color w:val="auto"/>
        </w:rPr>
      </w:pPr>
    </w:p>
    <w:p>
      <w:pPr>
        <w:ind w:left="1020" w:right="599" w:hanging="322"/>
        <w:spacing w:after="0" w:line="259"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68" w:lineRule="exact"/>
        <w:rPr>
          <w:rFonts w:ascii="Times New Roman" w:cs="Times New Roman" w:eastAsia="Times New Roman" w:hAnsi="Times New Roman"/>
          <w:sz w:val="14"/>
          <w:szCs w:val="14"/>
          <w:color w:val="auto"/>
        </w:rPr>
      </w:pPr>
    </w:p>
    <w:p>
      <w:pPr>
        <w:ind w:left="1020" w:right="559" w:hanging="322"/>
        <w:spacing w:after="0" w:line="273"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all vacancies, including newly created directorships, may, except as otherwise required by law, be filled by the affirmative vote of a majority of directors then in office, even if less than a quorum;</w:t>
      </w:r>
    </w:p>
    <w:p>
      <w:pPr>
        <w:spacing w:after="0" w:line="57" w:lineRule="exact"/>
        <w:rPr>
          <w:rFonts w:ascii="Times New Roman" w:cs="Times New Roman" w:eastAsia="Times New Roman" w:hAnsi="Times New Roman"/>
          <w:sz w:val="14"/>
          <w:szCs w:val="14"/>
          <w:color w:val="auto"/>
        </w:rPr>
      </w:pPr>
    </w:p>
    <w:p>
      <w:pPr>
        <w:ind w:left="1020" w:right="399" w:hanging="322"/>
        <w:spacing w:after="0" w:line="273"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any action to be taken by our stockholders must be effected at a duly called annual or special meeting of stockholders and not be taken by written consent or electronic transmission;</w:t>
      </w:r>
    </w:p>
    <w:p>
      <w:pPr>
        <w:spacing w:after="0" w:line="57" w:lineRule="exact"/>
        <w:rPr>
          <w:rFonts w:ascii="Times New Roman" w:cs="Times New Roman" w:eastAsia="Times New Roman" w:hAnsi="Times New Roman"/>
          <w:sz w:val="14"/>
          <w:szCs w:val="14"/>
          <w:color w:val="auto"/>
        </w:rPr>
      </w:pPr>
    </w:p>
    <w:p>
      <w:pPr>
        <w:ind w:left="1020" w:right="379" w:hanging="322"/>
        <w:spacing w:after="0" w:line="259"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68" w:lineRule="exact"/>
        <w:rPr>
          <w:rFonts w:ascii="Times New Roman" w:cs="Times New Roman" w:eastAsia="Times New Roman" w:hAnsi="Times New Roman"/>
          <w:sz w:val="14"/>
          <w:szCs w:val="14"/>
          <w:color w:val="auto"/>
        </w:rPr>
      </w:pPr>
    </w:p>
    <w:p>
      <w:pPr>
        <w:jc w:val="both"/>
        <w:ind w:left="1020" w:right="359" w:hanging="322"/>
        <w:spacing w:after="0" w:line="259"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special meetings of our stockholders may be called only by the chairman of our board of directors, our chief executive officer or president or by our board of directors pursuant to a resolution adopted by a majority of the total number of authorized directors, and not by our stockholders; and</w:t>
      </w:r>
    </w:p>
    <w:p>
      <w:pPr>
        <w:spacing w:after="0" w:line="68" w:lineRule="exact"/>
        <w:rPr>
          <w:rFonts w:ascii="Times New Roman" w:cs="Times New Roman" w:eastAsia="Times New Roman" w:hAnsi="Times New Roman"/>
          <w:sz w:val="14"/>
          <w:szCs w:val="14"/>
          <w:color w:val="auto"/>
        </w:rPr>
      </w:pPr>
    </w:p>
    <w:p>
      <w:pPr>
        <w:ind w:left="1020" w:right="359" w:hanging="322"/>
        <w:spacing w:after="0" w:line="273"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30" w:lineRule="exact"/>
        <w:rPr>
          <w:sz w:val="20"/>
          <w:szCs w:val="20"/>
          <w:color w:val="auto"/>
        </w:rPr>
      </w:pPr>
    </w:p>
    <w:p>
      <w:pPr>
        <w:ind w:left="280" w:right="719" w:firstLine="337"/>
        <w:spacing w:after="0" w:line="273" w:lineRule="auto"/>
        <w:rPr>
          <w:sz w:val="20"/>
          <w:szCs w:val="20"/>
          <w:color w:val="auto"/>
        </w:rPr>
      </w:pPr>
      <w:r>
        <w:rPr>
          <w:rFonts w:ascii="Times New Roman" w:cs="Times New Roman" w:eastAsia="Times New Roman" w:hAnsi="Times New Roman"/>
          <w:sz w:val="14"/>
          <w:szCs w:val="14"/>
          <w:color w:val="auto"/>
        </w:rPr>
        <w:t>The amendment of any of these provisions would require approval by the holders of at least 66 2/3% of the voting power of all of our then-outstanding common stock entitled to vote generally in the election of directors, voting together as a single class.</w:t>
      </w:r>
    </w:p>
    <w:p>
      <w:pPr>
        <w:spacing w:after="0" w:line="130" w:lineRule="exact"/>
        <w:rPr>
          <w:sz w:val="20"/>
          <w:szCs w:val="20"/>
          <w:color w:val="auto"/>
        </w:rPr>
      </w:pPr>
    </w:p>
    <w:p>
      <w:pPr>
        <w:ind w:left="280" w:right="419" w:firstLine="337"/>
        <w:spacing w:after="0" w:line="253" w:lineRule="auto"/>
        <w:rPr>
          <w:sz w:val="20"/>
          <w:szCs w:val="20"/>
          <w:color w:val="auto"/>
        </w:rPr>
      </w:pPr>
      <w:r>
        <w:rPr>
          <w:rFonts w:ascii="Times New Roman" w:cs="Times New Roman" w:eastAsia="Times New Roman" w:hAnsi="Times New Roman"/>
          <w:sz w:val="14"/>
          <w:szCs w:val="14"/>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44" w:lineRule="exact"/>
        <w:rPr>
          <w:sz w:val="20"/>
          <w:szCs w:val="20"/>
          <w:color w:val="auto"/>
        </w:rPr>
      </w:pPr>
    </w:p>
    <w:p>
      <w:pPr>
        <w:jc w:val="both"/>
        <w:ind w:left="280" w:right="359" w:firstLine="337"/>
        <w:spacing w:after="0" w:line="259" w:lineRule="auto"/>
        <w:rPr>
          <w:sz w:val="20"/>
          <w:szCs w:val="20"/>
          <w:color w:val="auto"/>
        </w:rPr>
      </w:pPr>
      <w:r>
        <w:rPr>
          <w:rFonts w:ascii="Times New Roman" w:cs="Times New Roman" w:eastAsia="Times New Roman" w:hAnsi="Times New Roman"/>
          <w:sz w:val="14"/>
          <w:szCs w:val="14"/>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16" w:name="page17"/>
    <w:bookmarkEnd w:id="16"/>
    <w:p>
      <w:pPr>
        <w:ind w:left="280" w:right="3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Choice of Forum</w:t>
      </w:r>
    </w:p>
    <w:p>
      <w:pPr>
        <w:spacing w:after="0" w:line="91" w:lineRule="exact"/>
        <w:rPr>
          <w:sz w:val="20"/>
          <w:szCs w:val="20"/>
          <w:color w:val="auto"/>
        </w:rPr>
      </w:pPr>
    </w:p>
    <w:p>
      <w:pPr>
        <w:ind w:left="280" w:right="319" w:firstLine="337"/>
        <w:spacing w:after="0" w:line="268" w:lineRule="auto"/>
        <w:rPr>
          <w:sz w:val="20"/>
          <w:szCs w:val="20"/>
          <w:color w:val="auto"/>
        </w:rPr>
      </w:pPr>
      <w:r>
        <w:rPr>
          <w:rFonts w:ascii="Times New Roman" w:cs="Times New Roman" w:eastAsia="Times New Roman" w:hAnsi="Times New Roman"/>
          <w:sz w:val="13"/>
          <w:szCs w:val="13"/>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certificate of incorporation or our bylaws; (iv) any action or proceeding to interpret, apply, enforce or determine the validity of our certificate of incorporation or our bylaws; (v) any action or proceeding as to which the Delaware General Corporation Law confers jurisdiction to the Court of Chancery of the State of Delaware; and</w:t>
      </w:r>
    </w:p>
    <w:p>
      <w:pPr>
        <w:ind w:left="280" w:right="419" w:firstLine="5"/>
        <w:spacing w:after="0" w:line="250" w:lineRule="auto"/>
        <w:tabs>
          <w:tab w:leader="none" w:pos="51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or any of our directors, officers or other employees governed by the internal affairs doctrine. This provision will not apply to suits brought to enforce a duty or liability created by the Securities, the Exchange Act, or any other claim for which the U.S. federal courts have exclusive jurisdiction.</w:t>
      </w:r>
    </w:p>
    <w:p>
      <w:pPr>
        <w:spacing w:after="0" w:line="145" w:lineRule="exact"/>
        <w:rPr>
          <w:sz w:val="20"/>
          <w:szCs w:val="20"/>
          <w:color w:val="auto"/>
        </w:rPr>
      </w:pPr>
    </w:p>
    <w:p>
      <w:pPr>
        <w:ind w:left="280" w:right="399" w:firstLine="337"/>
        <w:spacing w:after="0" w:line="270" w:lineRule="auto"/>
        <w:rPr>
          <w:sz w:val="20"/>
          <w:szCs w:val="20"/>
          <w:color w:val="auto"/>
        </w:rPr>
      </w:pPr>
      <w:r>
        <w:rPr>
          <w:rFonts w:ascii="Times New Roman" w:cs="Times New Roman" w:eastAsia="Times New Roman" w:hAnsi="Times New Roman"/>
          <w:sz w:val="13"/>
          <w:szCs w:val="13"/>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our amended 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However, there is uncertainty as to whether a court would enforce such provision, and investors cannot waive compliance with federal securities laws and the rules and regulations thereunder.</w:t>
      </w:r>
    </w:p>
    <w:p>
      <w:pPr>
        <w:spacing w:after="0" w:line="138"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17" w:name="page18"/>
    <w:bookmarkEnd w:id="17"/>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Transfer Agent and Registrar</w:t>
      </w:r>
    </w:p>
    <w:p>
      <w:pPr>
        <w:spacing w:after="0" w:line="91" w:lineRule="exact"/>
        <w:rPr>
          <w:sz w:val="20"/>
          <w:szCs w:val="20"/>
          <w:color w:val="auto"/>
        </w:rPr>
      </w:pPr>
    </w:p>
    <w:p>
      <w:pPr>
        <w:ind w:left="280" w:right="399" w:firstLine="337"/>
        <w:spacing w:after="0" w:line="259" w:lineRule="auto"/>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 The transfer agent and registrar’s address is 6201 15th Avenue, Brooklyn, New York 11219 and its telephone number is (800) 937-5449. The transfer agent for any series of preferred stock that we may offer under this prospectus will be named and described in the prospectus supplement for that series.</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Listing on The Nasdaq Global Select Market</w:t>
      </w:r>
    </w:p>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“DSGN.”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7"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DEBT SECURITIES</w:t>
      </w:r>
    </w:p>
    <w:p>
      <w:pPr>
        <w:spacing w:after="0" w:line="174" w:lineRule="exact"/>
        <w:rPr>
          <w:sz w:val="20"/>
          <w:szCs w:val="20"/>
          <w:color w:val="auto"/>
        </w:rPr>
      </w:pPr>
    </w:p>
    <w:p>
      <w:pPr>
        <w:ind w:left="280" w:right="379" w:firstLine="337"/>
        <w:spacing w:after="0" w:line="253" w:lineRule="auto"/>
        <w:rPr>
          <w:sz w:val="20"/>
          <w:szCs w:val="20"/>
          <w:color w:val="auto"/>
        </w:rPr>
      </w:pPr>
      <w:r>
        <w:rPr>
          <w:rFonts w:ascii="Times New Roman" w:cs="Times New Roman" w:eastAsia="Times New Roman" w:hAnsi="Times New Roman"/>
          <w:sz w:val="14"/>
          <w:szCs w:val="14"/>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44" w:lineRule="exact"/>
        <w:rPr>
          <w:sz w:val="20"/>
          <w:szCs w:val="20"/>
          <w:color w:val="auto"/>
        </w:rPr>
      </w:pPr>
    </w:p>
    <w:p>
      <w:pPr>
        <w:ind w:left="280" w:right="319" w:firstLine="337"/>
        <w:spacing w:after="0" w:line="253" w:lineRule="auto"/>
        <w:rPr>
          <w:sz w:val="20"/>
          <w:szCs w:val="20"/>
          <w:color w:val="auto"/>
        </w:rPr>
      </w:pPr>
      <w:r>
        <w:rPr>
          <w:rFonts w:ascii="Times New Roman" w:cs="Times New Roman" w:eastAsia="Times New Roman" w:hAnsi="Times New Roman"/>
          <w:sz w:val="14"/>
          <w:szCs w:val="14"/>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44" w:lineRule="exact"/>
        <w:rPr>
          <w:sz w:val="20"/>
          <w:szCs w:val="20"/>
          <w:color w:val="auto"/>
        </w:rPr>
      </w:pPr>
    </w:p>
    <w:p>
      <w:pPr>
        <w:jc w:val="both"/>
        <w:ind w:left="280" w:right="299" w:firstLine="337"/>
        <w:spacing w:after="0" w:line="255" w:lineRule="auto"/>
        <w:rPr>
          <w:sz w:val="20"/>
          <w:szCs w:val="20"/>
          <w:color w:val="auto"/>
        </w:rPr>
      </w:pPr>
      <w:r>
        <w:rPr>
          <w:rFonts w:ascii="Times New Roman" w:cs="Times New Roman" w:eastAsia="Times New Roman" w:hAnsi="Times New Roman"/>
          <w:sz w:val="14"/>
          <w:szCs w:val="14"/>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280" w:right="439" w:firstLine="337"/>
        <w:spacing w:after="0" w:line="281" w:lineRule="auto"/>
        <w:rPr>
          <w:sz w:val="20"/>
          <w:szCs w:val="20"/>
          <w:color w:val="auto"/>
        </w:rPr>
      </w:pPr>
      <w:r>
        <w:rPr>
          <w:rFonts w:ascii="Times New Roman" w:cs="Times New Roman" w:eastAsia="Times New Roman" w:hAnsi="Times New Roman"/>
          <w:sz w:val="13"/>
          <w:szCs w:val="13"/>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27" w:lineRule="exact"/>
        <w:rPr>
          <w:sz w:val="20"/>
          <w:szCs w:val="20"/>
          <w:color w:val="auto"/>
        </w:rPr>
      </w:pPr>
    </w:p>
    <w:p>
      <w:pPr>
        <w:ind w:left="280" w:right="299" w:firstLine="337"/>
        <w:spacing w:after="0" w:line="281" w:lineRule="auto"/>
        <w:rPr>
          <w:sz w:val="20"/>
          <w:szCs w:val="20"/>
          <w:color w:val="auto"/>
        </w:rPr>
      </w:pPr>
      <w:r>
        <w:rPr>
          <w:rFonts w:ascii="Times New Roman" w:cs="Times New Roman" w:eastAsia="Times New Roman" w:hAnsi="Times New Roman"/>
          <w:sz w:val="13"/>
          <w:szCs w:val="13"/>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debt securities being offered, including:</w:t>
      </w:r>
    </w:p>
    <w:p>
      <w:pPr>
        <w:spacing w:after="0" w:line="98" w:lineRule="exact"/>
        <w:rPr>
          <w:sz w:val="20"/>
          <w:szCs w:val="20"/>
          <w:color w:val="auto"/>
        </w:rPr>
      </w:pPr>
    </w:p>
    <w:p>
      <w:pPr>
        <w:ind w:left="1020" w:hanging="322"/>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debt securities;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that may be issued;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97" w:lineRule="exact"/>
        <w:rPr>
          <w:rFonts w:ascii="Times New Roman" w:cs="Times New Roman" w:eastAsia="Times New Roman" w:hAnsi="Times New Roman"/>
          <w:sz w:val="14"/>
          <w:szCs w:val="14"/>
          <w:color w:val="auto"/>
        </w:rPr>
      </w:pPr>
    </w:p>
    <w:p>
      <w:pPr>
        <w:ind w:left="1020" w:right="479" w:hanging="322"/>
        <w:spacing w:after="0" w:line="273" w:lineRule="auto"/>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rank as senior debt, senior subordinated debt, subordinated debt or any combination thereof, and the terms of any subordination;</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7" w:right="1440" w:bottom="1440" w:gutter="0" w:footer="0" w:header="0"/>
        </w:sectPr>
      </w:pPr>
    </w:p>
    <w:bookmarkStart w:id="19" w:name="page20"/>
    <w:bookmarkEnd w:id="19"/>
    <w:p>
      <w:pPr>
        <w:ind w:left="1020" w:right="399" w:hanging="322"/>
        <w:spacing w:after="0" w:line="255"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70" w:lineRule="exact"/>
        <w:rPr>
          <w:rFonts w:ascii="Times New Roman" w:cs="Times New Roman" w:eastAsia="Times New Roman" w:hAnsi="Times New Roman"/>
          <w:sz w:val="14"/>
          <w:szCs w:val="14"/>
          <w:color w:val="auto"/>
        </w:rPr>
      </w:pPr>
    </w:p>
    <w:p>
      <w:pPr>
        <w:ind w:left="1020" w:right="439" w:hanging="322"/>
        <w:spacing w:after="0" w:line="312" w:lineRule="auto"/>
        <w:tabs>
          <w:tab w:leader="none" w:pos="10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5" w:lineRule="exact"/>
        <w:rPr>
          <w:rFonts w:ascii="Times New Roman" w:cs="Times New Roman" w:eastAsia="Times New Roman" w:hAnsi="Times New Roman"/>
          <w:sz w:val="13"/>
          <w:szCs w:val="13"/>
          <w:color w:val="auto"/>
        </w:rPr>
      </w:pPr>
    </w:p>
    <w:p>
      <w:pPr>
        <w:ind w:left="1020" w:hanging="322"/>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97" w:lineRule="exact"/>
        <w:rPr>
          <w:rFonts w:ascii="Times New Roman" w:cs="Times New Roman" w:eastAsia="Times New Roman" w:hAnsi="Times New Roman"/>
          <w:sz w:val="14"/>
          <w:szCs w:val="14"/>
          <w:color w:val="auto"/>
        </w:rPr>
      </w:pPr>
    </w:p>
    <w:p>
      <w:pPr>
        <w:ind w:left="1020" w:right="459" w:hanging="322"/>
        <w:spacing w:after="0" w:line="259"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68" w:lineRule="exact"/>
        <w:rPr>
          <w:rFonts w:ascii="Times New Roman" w:cs="Times New Roman" w:eastAsia="Times New Roman" w:hAnsi="Times New Roman"/>
          <w:sz w:val="14"/>
          <w:szCs w:val="14"/>
          <w:color w:val="auto"/>
        </w:rPr>
      </w:pPr>
    </w:p>
    <w:p>
      <w:pPr>
        <w:ind w:left="1020" w:right="299" w:hanging="322"/>
        <w:spacing w:after="0" w:line="259"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68" w:lineRule="exact"/>
        <w:rPr>
          <w:rFonts w:ascii="Times New Roman" w:cs="Times New Roman" w:eastAsia="Times New Roman" w:hAnsi="Times New Roman"/>
          <w:sz w:val="14"/>
          <w:szCs w:val="14"/>
          <w:color w:val="auto"/>
        </w:rPr>
      </w:pPr>
    </w:p>
    <w:p>
      <w:pPr>
        <w:ind w:left="1020" w:right="619" w:hanging="322"/>
        <w:spacing w:after="0" w:line="273"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57" w:lineRule="exact"/>
        <w:rPr>
          <w:rFonts w:ascii="Times New Roman" w:cs="Times New Roman" w:eastAsia="Times New Roman" w:hAnsi="Times New Roman"/>
          <w:sz w:val="14"/>
          <w:szCs w:val="14"/>
          <w:color w:val="auto"/>
        </w:rPr>
      </w:pPr>
    </w:p>
    <w:p>
      <w:pPr>
        <w:ind w:left="1020" w:right="659" w:hanging="322"/>
        <w:spacing w:after="0" w:line="259"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68" w:lineRule="exact"/>
        <w:rPr>
          <w:rFonts w:ascii="Times New Roman" w:cs="Times New Roman" w:eastAsia="Times New Roman" w:hAnsi="Times New Roman"/>
          <w:sz w:val="14"/>
          <w:szCs w:val="14"/>
          <w:color w:val="auto"/>
        </w:rPr>
      </w:pPr>
    </w:p>
    <w:p>
      <w:pPr>
        <w:ind w:left="1020" w:right="439" w:hanging="322"/>
        <w:spacing w:after="0" w:line="259"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8" w:lineRule="exact"/>
        <w:rPr>
          <w:rFonts w:ascii="Times New Roman" w:cs="Times New Roman" w:eastAsia="Times New Roman" w:hAnsi="Times New Roman"/>
          <w:sz w:val="14"/>
          <w:szCs w:val="14"/>
          <w:color w:val="auto"/>
        </w:rPr>
      </w:pPr>
    </w:p>
    <w:p>
      <w:pPr>
        <w:ind w:left="1020" w:right="299" w:hanging="322"/>
        <w:spacing w:after="0" w:line="255"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0" w:lineRule="exact"/>
        <w:rPr>
          <w:rFonts w:ascii="Times New Roman" w:cs="Times New Roman" w:eastAsia="Times New Roman" w:hAnsi="Times New Roman"/>
          <w:sz w:val="14"/>
          <w:szCs w:val="14"/>
          <w:color w:val="auto"/>
        </w:rPr>
      </w:pPr>
    </w:p>
    <w:p>
      <w:pPr>
        <w:ind w:left="1020" w:right="519" w:hanging="322"/>
        <w:spacing w:after="0" w:line="273"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full principal amount thereof, the portion of the principal amount of debt securities of the series which shall be payable upon declaration of acceleration of the maturity thereof;</w:t>
      </w:r>
    </w:p>
    <w:p>
      <w:pPr>
        <w:spacing w:after="0" w:line="57" w:lineRule="exact"/>
        <w:rPr>
          <w:rFonts w:ascii="Times New Roman" w:cs="Times New Roman" w:eastAsia="Times New Roman" w:hAnsi="Times New Roman"/>
          <w:sz w:val="14"/>
          <w:szCs w:val="14"/>
          <w:color w:val="auto"/>
        </w:rPr>
      </w:pPr>
    </w:p>
    <w:p>
      <w:pPr>
        <w:ind w:left="1020" w:right="1079" w:hanging="322"/>
        <w:spacing w:after="0" w:line="273"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covenants applicable to the particular debt securities being issued, including, among others, the consolidation, merger or sale covenant;</w:t>
      </w:r>
    </w:p>
    <w:p>
      <w:pPr>
        <w:spacing w:after="0" w:line="57" w:lineRule="exact"/>
        <w:rPr>
          <w:rFonts w:ascii="Times New Roman" w:cs="Times New Roman" w:eastAsia="Times New Roman" w:hAnsi="Times New Roman"/>
          <w:sz w:val="14"/>
          <w:szCs w:val="14"/>
          <w:color w:val="auto"/>
        </w:rPr>
      </w:pPr>
    </w:p>
    <w:p>
      <w:pPr>
        <w:ind w:left="1020" w:right="599" w:hanging="322"/>
        <w:spacing w:after="0" w:line="273"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satisfaction and discharge of the indenture;</w:t>
      </w:r>
    </w:p>
    <w:p>
      <w:pPr>
        <w:spacing w:after="0" w:line="97" w:lineRule="exact"/>
        <w:rPr>
          <w:rFonts w:ascii="Times New Roman" w:cs="Times New Roman" w:eastAsia="Times New Roman" w:hAnsi="Times New Roman"/>
          <w:sz w:val="14"/>
          <w:szCs w:val="14"/>
          <w:color w:val="auto"/>
        </w:rPr>
      </w:pPr>
    </w:p>
    <w:p>
      <w:pPr>
        <w:ind w:left="1020" w:right="399" w:hanging="322"/>
        <w:spacing w:after="0" w:line="273"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the modification of the indenture both with and without the consent of holders of debt securities issued under the indenture;</w:t>
      </w:r>
    </w:p>
    <w:p>
      <w:pPr>
        <w:spacing w:after="0" w:line="57" w:lineRule="exact"/>
        <w:rPr>
          <w:rFonts w:ascii="Times New Roman" w:cs="Times New Roman" w:eastAsia="Times New Roman" w:hAnsi="Times New Roman"/>
          <w:sz w:val="14"/>
          <w:szCs w:val="14"/>
          <w:color w:val="auto"/>
        </w:rPr>
      </w:pPr>
    </w:p>
    <w:p>
      <w:pPr>
        <w:ind w:left="4440" w:right="419" w:hanging="3742"/>
        <w:spacing w:after="0" w:line="442" w:lineRule="auto"/>
        <w:tabs>
          <w:tab w:leader="none" w:pos="103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payment of debt securities if other than U.S. dollars and the manner of determining the equivalent amount in U.S. dollars; 16</w:t>
      </w:r>
    </w:p>
    <w:p>
      <w:pPr>
        <w:sectPr>
          <w:pgSz w:w="11900" w:h="16838" w:orient="portrait"/>
          <w:cols w:equalWidth="0" w:num="1">
            <w:col w:w="9019"/>
          </w:cols>
          <w:pgMar w:left="1440" w:top="240" w:right="1440" w:bottom="1440" w:gutter="0" w:footer="0" w:header="0"/>
        </w:sectPr>
      </w:pPr>
    </w:p>
    <w:bookmarkStart w:id="20" w:name="page21"/>
    <w:bookmarkEnd w:id="20"/>
    <w:p>
      <w:pPr>
        <w:ind w:left="1020" w:right="359" w:hanging="322"/>
        <w:spacing w:after="0" w:line="273" w:lineRule="auto"/>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whether interest will be payable in cash or additional debt securities at our or the holders’ option and the terms and conditions upon which the election may be made;</w:t>
      </w:r>
    </w:p>
    <w:p>
      <w:pPr>
        <w:spacing w:after="0" w:line="57" w:lineRule="exact"/>
        <w:rPr>
          <w:rFonts w:ascii="Times New Roman" w:cs="Times New Roman" w:eastAsia="Times New Roman" w:hAnsi="Times New Roman"/>
          <w:sz w:val="14"/>
          <w:szCs w:val="14"/>
          <w:color w:val="auto"/>
        </w:rPr>
      </w:pPr>
    </w:p>
    <w:p>
      <w:pPr>
        <w:ind w:left="1020" w:right="359" w:hanging="322"/>
        <w:spacing w:after="0" w:line="273" w:lineRule="auto"/>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97" w:lineRule="exact"/>
        <w:rPr>
          <w:rFonts w:ascii="Times New Roman" w:cs="Times New Roman" w:eastAsia="Times New Roman" w:hAnsi="Times New Roman"/>
          <w:sz w:val="14"/>
          <w:szCs w:val="14"/>
          <w:color w:val="auto"/>
        </w:rPr>
      </w:pPr>
    </w:p>
    <w:p>
      <w:pPr>
        <w:ind w:left="1020" w:right="499" w:hanging="322"/>
        <w:spacing w:after="0" w:line="273" w:lineRule="auto"/>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91" w:lineRule="exact"/>
        <w:rPr>
          <w:sz w:val="20"/>
          <w:szCs w:val="20"/>
          <w:color w:val="auto"/>
        </w:rPr>
      </w:pPr>
    </w:p>
    <w:p>
      <w:pPr>
        <w:ind w:left="280" w:right="419" w:firstLine="337"/>
        <w:spacing w:after="0" w:line="255" w:lineRule="auto"/>
        <w:rPr>
          <w:sz w:val="20"/>
          <w:szCs w:val="20"/>
          <w:color w:val="auto"/>
        </w:rPr>
      </w:pPr>
      <w:r>
        <w:rPr>
          <w:rFonts w:ascii="Times New Roman" w:cs="Times New Roman" w:eastAsia="Times New Roman" w:hAnsi="Times New Roman"/>
          <w:sz w:val="14"/>
          <w:szCs w:val="14"/>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91" w:lineRule="exact"/>
        <w:rPr>
          <w:sz w:val="20"/>
          <w:szCs w:val="20"/>
          <w:color w:val="auto"/>
        </w:rPr>
      </w:pPr>
    </w:p>
    <w:p>
      <w:pPr>
        <w:ind w:left="280" w:right="379" w:firstLine="337"/>
        <w:spacing w:after="0" w:line="255"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91" w:lineRule="exact"/>
        <w:rPr>
          <w:sz w:val="20"/>
          <w:szCs w:val="20"/>
          <w:color w:val="auto"/>
        </w:rPr>
      </w:pPr>
    </w:p>
    <w:p>
      <w:pPr>
        <w:ind w:left="280" w:right="479" w:firstLine="337"/>
        <w:spacing w:after="0" w:line="273"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58" w:lineRule="exact"/>
        <w:rPr>
          <w:sz w:val="20"/>
          <w:szCs w:val="20"/>
          <w:color w:val="auto"/>
        </w:rPr>
      </w:pPr>
    </w:p>
    <w:p>
      <w:pPr>
        <w:jc w:val="both"/>
        <w:ind w:left="1020" w:right="359" w:hanging="322"/>
        <w:spacing w:after="0" w:line="289" w:lineRule="auto"/>
        <w:tabs>
          <w:tab w:leader="none" w:pos="10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49" w:lineRule="exact"/>
        <w:rPr>
          <w:rFonts w:ascii="Times New Roman" w:cs="Times New Roman" w:eastAsia="Times New Roman" w:hAnsi="Times New Roman"/>
          <w:sz w:val="13"/>
          <w:szCs w:val="13"/>
          <w:color w:val="auto"/>
        </w:rPr>
      </w:pPr>
    </w:p>
    <w:p>
      <w:pPr>
        <w:ind w:left="1020" w:right="359" w:hanging="322"/>
        <w:spacing w:after="0" w:line="281" w:lineRule="auto"/>
        <w:tabs>
          <w:tab w:leader="none" w:pos="10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54" w:lineRule="exact"/>
        <w:rPr>
          <w:rFonts w:ascii="Times New Roman" w:cs="Times New Roman" w:eastAsia="Times New Roman" w:hAnsi="Times New Roman"/>
          <w:sz w:val="13"/>
          <w:szCs w:val="13"/>
          <w:color w:val="auto"/>
        </w:rPr>
      </w:pPr>
    </w:p>
    <w:p>
      <w:pPr>
        <w:ind w:left="1020" w:right="319" w:hanging="322"/>
        <w:spacing w:after="0" w:line="255"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0"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21" w:name="page22"/>
    <w:bookmarkEnd w:id="21"/>
    <w:p>
      <w:pPr>
        <w:ind w:left="280" w:right="299" w:firstLine="337"/>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48" w:lineRule="exact"/>
        <w:rPr>
          <w:sz w:val="20"/>
          <w:szCs w:val="20"/>
          <w:color w:val="auto"/>
        </w:rPr>
      </w:pPr>
    </w:p>
    <w:p>
      <w:pPr>
        <w:ind w:left="280" w:right="459" w:firstLine="337"/>
        <w:spacing w:after="0" w:line="259"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41" w:lineRule="exact"/>
        <w:rPr>
          <w:sz w:val="20"/>
          <w:szCs w:val="20"/>
          <w:color w:val="auto"/>
        </w:rPr>
      </w:pPr>
    </w:p>
    <w:p>
      <w:pPr>
        <w:ind w:left="280" w:right="419" w:firstLine="337"/>
        <w:spacing w:after="0" w:line="253" w:lineRule="auto"/>
        <w:rPr>
          <w:sz w:val="20"/>
          <w:szCs w:val="20"/>
          <w:color w:val="auto"/>
        </w:rPr>
      </w:pPr>
      <w:r>
        <w:rPr>
          <w:rFonts w:ascii="Times New Roman" w:cs="Times New Roman" w:eastAsia="Times New Roman" w:hAnsi="Times New Roman"/>
          <w:sz w:val="14"/>
          <w:szCs w:val="14"/>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2" w:lineRule="exact"/>
        <w:rPr>
          <w:sz w:val="20"/>
          <w:szCs w:val="20"/>
          <w:color w:val="auto"/>
        </w:rPr>
      </w:pPr>
    </w:p>
    <w:p>
      <w:pPr>
        <w:ind w:left="1020" w:hanging="322"/>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97" w:lineRule="exact"/>
        <w:rPr>
          <w:rFonts w:ascii="Times New Roman" w:cs="Times New Roman" w:eastAsia="Times New Roman" w:hAnsi="Times New Roman"/>
          <w:sz w:val="14"/>
          <w:szCs w:val="14"/>
          <w:color w:val="auto"/>
        </w:rPr>
      </w:pPr>
    </w:p>
    <w:p>
      <w:pPr>
        <w:ind w:left="1020" w:right="319" w:hanging="322"/>
        <w:spacing w:after="0" w:line="273"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130" w:lineRule="exact"/>
        <w:rPr>
          <w:sz w:val="20"/>
          <w:szCs w:val="20"/>
          <w:color w:val="auto"/>
        </w:rPr>
      </w:pPr>
    </w:p>
    <w:p>
      <w:pPr>
        <w:ind w:left="280" w:right="299" w:firstLine="337"/>
        <w:spacing w:after="0" w:line="273" w:lineRule="auto"/>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 or to appoint a receiver or trustee, or to seek other remedies only if:</w:t>
      </w:r>
    </w:p>
    <w:p>
      <w:pPr>
        <w:spacing w:after="0" w:line="58" w:lineRule="exact"/>
        <w:rPr>
          <w:sz w:val="20"/>
          <w:szCs w:val="20"/>
          <w:color w:val="auto"/>
        </w:rPr>
      </w:pPr>
    </w:p>
    <w:p>
      <w:pPr>
        <w:ind w:left="1020" w:hanging="322"/>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w:t>
      </w:r>
    </w:p>
    <w:p>
      <w:pPr>
        <w:spacing w:after="0" w:line="97" w:lineRule="exact"/>
        <w:rPr>
          <w:rFonts w:ascii="Times New Roman" w:cs="Times New Roman" w:eastAsia="Times New Roman" w:hAnsi="Times New Roman"/>
          <w:sz w:val="14"/>
          <w:szCs w:val="14"/>
          <w:color w:val="auto"/>
        </w:rPr>
      </w:pPr>
    </w:p>
    <w:p>
      <w:pPr>
        <w:ind w:left="1020" w:right="299" w:hanging="322"/>
        <w:spacing w:after="0" w:line="273" w:lineRule="auto"/>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to the trustee indemnity satisfactory to it against the costs, expenses and liabilities to be incurred by the trustee in compliance with the request; and</w:t>
      </w:r>
    </w:p>
    <w:p>
      <w:pPr>
        <w:spacing w:after="0" w:line="57" w:lineRule="exact"/>
        <w:rPr>
          <w:rFonts w:ascii="Times New Roman" w:cs="Times New Roman" w:eastAsia="Times New Roman" w:hAnsi="Times New Roman"/>
          <w:sz w:val="14"/>
          <w:szCs w:val="14"/>
          <w:color w:val="auto"/>
        </w:rPr>
      </w:pPr>
    </w:p>
    <w:p>
      <w:pPr>
        <w:ind w:left="1020" w:right="659" w:hanging="322"/>
        <w:spacing w:after="0" w:line="273" w:lineRule="auto"/>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30" w:lineRule="exact"/>
        <w:rPr>
          <w:sz w:val="20"/>
          <w:szCs w:val="20"/>
          <w:color w:val="auto"/>
        </w:rPr>
      </w:pPr>
    </w:p>
    <w:p>
      <w:pPr>
        <w:ind w:left="280" w:right="479" w:firstLine="337"/>
        <w:spacing w:after="0" w:line="273"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w:t>
      </w:r>
    </w:p>
    <w:p>
      <w:pPr>
        <w:spacing w:after="0" w:line="2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and the trustee may change an indenture without the consent of any holders with respect to specific matters:</w:t>
      </w:r>
    </w:p>
    <w:p>
      <w:pPr>
        <w:spacing w:after="0" w:line="98" w:lineRule="exact"/>
        <w:rPr>
          <w:sz w:val="20"/>
          <w:szCs w:val="20"/>
          <w:color w:val="auto"/>
        </w:rPr>
      </w:pPr>
    </w:p>
    <w:p>
      <w:pPr>
        <w:ind w:left="4440" w:right="2459" w:hanging="3742"/>
        <w:spacing w:after="0" w:line="442" w:lineRule="auto"/>
        <w:tabs>
          <w:tab w:leader="none" w:pos="103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or in the debt securities of any series; 18</w:t>
      </w:r>
    </w:p>
    <w:p>
      <w:pPr>
        <w:sectPr>
          <w:pgSz w:w="11900" w:h="16838" w:orient="portrait"/>
          <w:cols w:equalWidth="0" w:num="1">
            <w:col w:w="9019"/>
          </w:cols>
          <w:pgMar w:left="1440" w:top="240" w:right="1440" w:bottom="1440" w:gutter="0" w:footer="0" w:header="0"/>
        </w:sectPr>
      </w:pPr>
    </w:p>
    <w:bookmarkStart w:id="22" w:name="page23"/>
    <w:bookmarkEnd w:id="22"/>
    <w:p>
      <w:pPr>
        <w:ind w:left="1020" w:hanging="32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to comply with the provisions described above under “Description of Debt Securities-Consolidation, Merger or Sale;”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97" w:lineRule="exact"/>
        <w:rPr>
          <w:rFonts w:ascii="Times New Roman" w:cs="Times New Roman" w:eastAsia="Times New Roman" w:hAnsi="Times New Roman"/>
          <w:sz w:val="14"/>
          <w:szCs w:val="14"/>
          <w:color w:val="auto"/>
        </w:rPr>
      </w:pPr>
    </w:p>
    <w:p>
      <w:pPr>
        <w:ind w:left="1020" w:right="439" w:hanging="322"/>
        <w:spacing w:after="0" w:line="255"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70" w:lineRule="exact"/>
        <w:rPr>
          <w:rFonts w:ascii="Times New Roman" w:cs="Times New Roman" w:eastAsia="Times New Roman" w:hAnsi="Times New Roman"/>
          <w:sz w:val="14"/>
          <w:szCs w:val="14"/>
          <w:color w:val="auto"/>
        </w:rPr>
      </w:pPr>
    </w:p>
    <w:p>
      <w:pPr>
        <w:ind w:left="1020" w:right="899" w:hanging="322"/>
        <w:spacing w:after="0" w:line="273"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interests of any holder of debt securities of any series in any material respect;</w:t>
      </w:r>
    </w:p>
    <w:p>
      <w:pPr>
        <w:spacing w:after="0" w:line="97" w:lineRule="exact"/>
        <w:rPr>
          <w:rFonts w:ascii="Times New Roman" w:cs="Times New Roman" w:eastAsia="Times New Roman" w:hAnsi="Times New Roman"/>
          <w:sz w:val="14"/>
          <w:szCs w:val="14"/>
          <w:color w:val="auto"/>
        </w:rPr>
      </w:pPr>
    </w:p>
    <w:p>
      <w:pPr>
        <w:ind w:left="1020" w:right="419" w:hanging="322"/>
        <w:spacing w:after="0" w:line="259"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68"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any indenture by a successor trustee; or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170" w:lineRule="exact"/>
        <w:rPr>
          <w:sz w:val="20"/>
          <w:szCs w:val="20"/>
          <w:color w:val="auto"/>
        </w:rPr>
      </w:pPr>
    </w:p>
    <w:p>
      <w:pPr>
        <w:ind w:left="280" w:right="299" w:firstLine="337"/>
        <w:spacing w:after="0" w:line="255" w:lineRule="auto"/>
        <w:rPr>
          <w:sz w:val="20"/>
          <w:szCs w:val="20"/>
          <w:color w:val="auto"/>
        </w:rPr>
      </w:pPr>
      <w:r>
        <w:rPr>
          <w:rFonts w:ascii="Times New Roman" w:cs="Times New Roman" w:eastAsia="Times New Roman" w:hAnsi="Times New Roman"/>
          <w:sz w:val="14"/>
          <w:szCs w:val="14"/>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71" w:lineRule="exact"/>
        <w:rPr>
          <w:sz w:val="20"/>
          <w:szCs w:val="20"/>
          <w:color w:val="auto"/>
        </w:rPr>
      </w:pPr>
    </w:p>
    <w:p>
      <w:pPr>
        <w:ind w:left="1020" w:hanging="322"/>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any debt securities of any series;</w:t>
      </w:r>
    </w:p>
    <w:p>
      <w:pPr>
        <w:spacing w:after="0" w:line="97" w:lineRule="exact"/>
        <w:rPr>
          <w:rFonts w:ascii="Times New Roman" w:cs="Times New Roman" w:eastAsia="Times New Roman" w:hAnsi="Times New Roman"/>
          <w:sz w:val="14"/>
          <w:szCs w:val="14"/>
          <w:color w:val="auto"/>
        </w:rPr>
      </w:pPr>
    </w:p>
    <w:p>
      <w:pPr>
        <w:ind w:left="1020" w:right="499" w:hanging="322"/>
        <w:spacing w:after="0" w:line="273"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of any series of any debt securities; or</w:t>
      </w:r>
    </w:p>
    <w:p>
      <w:pPr>
        <w:spacing w:after="0" w:line="57" w:lineRule="exact"/>
        <w:rPr>
          <w:rFonts w:ascii="Times New Roman" w:cs="Times New Roman" w:eastAsia="Times New Roman" w:hAnsi="Times New Roman"/>
          <w:sz w:val="14"/>
          <w:szCs w:val="14"/>
          <w:color w:val="auto"/>
        </w:rPr>
      </w:pPr>
    </w:p>
    <w:p>
      <w:pPr>
        <w:ind w:left="1020" w:right="519" w:hanging="322"/>
        <w:spacing w:after="0" w:line="273"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91" w:lineRule="exact"/>
        <w:rPr>
          <w:sz w:val="20"/>
          <w:szCs w:val="20"/>
          <w:color w:val="auto"/>
        </w:rPr>
      </w:pPr>
    </w:p>
    <w:p>
      <w:pPr>
        <w:ind w:left="280" w:right="559" w:firstLine="337"/>
        <w:spacing w:after="0" w:line="273" w:lineRule="auto"/>
        <w:rPr>
          <w:sz w:val="20"/>
          <w:szCs w:val="20"/>
          <w:color w:val="auto"/>
        </w:rPr>
      </w:pPr>
      <w:r>
        <w:rPr>
          <w:rFonts w:ascii="Times New Roman" w:cs="Times New Roman" w:eastAsia="Times New Roman" w:hAnsi="Times New Roman"/>
          <w:sz w:val="14"/>
          <w:szCs w:val="14"/>
          <w:color w:val="auto"/>
        </w:rPr>
        <w:t>The indenture provides that we can elect to be discharged from our obligations with respect to one or more series of debt securities, except for specified obligations, including obligations to:</w:t>
      </w:r>
    </w:p>
    <w:p>
      <w:pPr>
        <w:spacing w:after="0" w:line="58" w:lineRule="exact"/>
        <w:rPr>
          <w:sz w:val="20"/>
          <w:szCs w:val="20"/>
          <w:color w:val="auto"/>
        </w:rPr>
      </w:pPr>
    </w:p>
    <w:p>
      <w:pPr>
        <w:ind w:left="1020" w:hanging="32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payment;</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principal of and premium and interest on any debt securities of the series;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 excess money held by the trustee;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23" w:name="page24"/>
    <w:bookmarkEnd w:id="23"/>
    <w:p>
      <w:pPr>
        <w:ind w:left="1020" w:hanging="322"/>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compensate and indemnify the trustee; and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70" w:lineRule="exact"/>
        <w:rPr>
          <w:sz w:val="20"/>
          <w:szCs w:val="20"/>
          <w:color w:val="auto"/>
        </w:rPr>
      </w:pPr>
    </w:p>
    <w:p>
      <w:pPr>
        <w:ind w:left="280" w:right="779" w:firstLine="337"/>
        <w:spacing w:after="0" w:line="273"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91" w:lineRule="exact"/>
        <w:rPr>
          <w:sz w:val="20"/>
          <w:szCs w:val="20"/>
          <w:color w:val="auto"/>
        </w:rPr>
      </w:pPr>
    </w:p>
    <w:p>
      <w:pPr>
        <w:ind w:left="280" w:right="459" w:firstLine="337"/>
        <w:spacing w:after="0" w:line="251"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48" w:lineRule="exact"/>
        <w:rPr>
          <w:sz w:val="20"/>
          <w:szCs w:val="20"/>
          <w:color w:val="auto"/>
        </w:rPr>
      </w:pPr>
    </w:p>
    <w:p>
      <w:pPr>
        <w:ind w:left="280" w:right="359" w:firstLine="337"/>
        <w:spacing w:after="0" w:line="259"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41" w:lineRule="exact"/>
        <w:rPr>
          <w:sz w:val="20"/>
          <w:szCs w:val="20"/>
          <w:color w:val="auto"/>
        </w:rPr>
      </w:pPr>
    </w:p>
    <w:p>
      <w:pPr>
        <w:ind w:left="280" w:right="299" w:firstLine="337"/>
        <w:spacing w:after="0" w:line="253" w:lineRule="auto"/>
        <w:rPr>
          <w:sz w:val="20"/>
          <w:szCs w:val="20"/>
          <w:color w:val="auto"/>
        </w:rPr>
      </w:pPr>
      <w:r>
        <w:rPr>
          <w:rFonts w:ascii="Times New Roman" w:cs="Times New Roman" w:eastAsia="Times New Roman" w:hAnsi="Times New Roman"/>
          <w:sz w:val="14"/>
          <w:szCs w:val="14"/>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44" w:lineRule="exact"/>
        <w:rPr>
          <w:sz w:val="20"/>
          <w:szCs w:val="20"/>
          <w:color w:val="auto"/>
        </w:rPr>
      </w:pPr>
    </w:p>
    <w:p>
      <w:pPr>
        <w:ind w:left="280" w:right="539" w:firstLine="337"/>
        <w:spacing w:after="0" w:line="255"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will not be required to:</w:t>
      </w:r>
    </w:p>
    <w:p>
      <w:pPr>
        <w:spacing w:after="0" w:line="98" w:lineRule="exact"/>
        <w:rPr>
          <w:sz w:val="20"/>
          <w:szCs w:val="20"/>
          <w:color w:val="auto"/>
        </w:rPr>
      </w:pPr>
    </w:p>
    <w:p>
      <w:pPr>
        <w:jc w:val="both"/>
        <w:ind w:left="1020" w:right="499" w:hanging="322"/>
        <w:spacing w:after="0" w:line="259"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8" w:lineRule="exact"/>
        <w:rPr>
          <w:rFonts w:ascii="Times New Roman" w:cs="Times New Roman" w:eastAsia="Times New Roman" w:hAnsi="Times New Roman"/>
          <w:sz w:val="14"/>
          <w:szCs w:val="14"/>
          <w:color w:val="auto"/>
        </w:rPr>
      </w:pPr>
    </w:p>
    <w:p>
      <w:pPr>
        <w:ind w:left="1020" w:right="359" w:hanging="322"/>
        <w:spacing w:after="0" w:line="273"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of any debt securities so selected for redemption, in whole or in part, except the unredeemed portion of any debt securities we are redeeming in part.</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91" w:lineRule="exact"/>
        <w:rPr>
          <w:sz w:val="20"/>
          <w:szCs w:val="20"/>
          <w:color w:val="auto"/>
        </w:rPr>
      </w:pPr>
    </w:p>
    <w:p>
      <w:pPr>
        <w:ind w:left="280" w:right="299" w:firstLine="337"/>
        <w:spacing w:after="0" w:line="253"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24" w:name="page25"/>
    <w:bookmarkEnd w:id="24"/>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Payment and Paying Agents</w:t>
      </w:r>
    </w:p>
    <w:p>
      <w:pPr>
        <w:spacing w:after="0" w:line="91" w:lineRule="exact"/>
        <w:rPr>
          <w:sz w:val="20"/>
          <w:szCs w:val="20"/>
          <w:color w:val="auto"/>
        </w:rPr>
      </w:pPr>
    </w:p>
    <w:p>
      <w:pPr>
        <w:jc w:val="both"/>
        <w:ind w:left="280" w:right="319" w:firstLine="337"/>
        <w:spacing w:after="0" w:line="259"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41"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48" w:lineRule="exact"/>
        <w:rPr>
          <w:sz w:val="20"/>
          <w:szCs w:val="20"/>
          <w:color w:val="auto"/>
        </w:rPr>
      </w:pPr>
    </w:p>
    <w:p>
      <w:pPr>
        <w:ind w:left="280" w:right="439" w:firstLine="337"/>
        <w:spacing w:after="0" w:line="259"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ind w:left="280" w:right="419" w:firstLine="337"/>
        <w:spacing w:after="0" w:line="273"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 except to the extent that the Trust Indenture Act is applicable.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6" w:right="144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WARRANTS</w:t>
      </w:r>
    </w:p>
    <w:p>
      <w:pPr>
        <w:spacing w:after="0" w:line="174" w:lineRule="exact"/>
        <w:rPr>
          <w:sz w:val="20"/>
          <w:szCs w:val="20"/>
          <w:color w:val="auto"/>
        </w:rPr>
      </w:pPr>
    </w:p>
    <w:p>
      <w:pPr>
        <w:ind w:left="280" w:right="299" w:firstLine="337"/>
        <w:spacing w:after="0" w:line="250"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45" w:lineRule="exact"/>
        <w:rPr>
          <w:sz w:val="20"/>
          <w:szCs w:val="20"/>
          <w:color w:val="auto"/>
        </w:rPr>
      </w:pPr>
    </w:p>
    <w:p>
      <w:pPr>
        <w:ind w:left="280" w:right="339" w:firstLine="337"/>
        <w:spacing w:after="0" w:line="273" w:lineRule="auto"/>
        <w:rPr>
          <w:sz w:val="20"/>
          <w:szCs w:val="20"/>
          <w:color w:val="auto"/>
        </w:rPr>
      </w:pPr>
      <w:r>
        <w:rPr>
          <w:rFonts w:ascii="Times New Roman" w:cs="Times New Roman" w:eastAsia="Times New Roman" w:hAnsi="Times New Roman"/>
          <w:sz w:val="13"/>
          <w:szCs w:val="13"/>
          <w:color w:val="auto"/>
        </w:rPr>
        <w:t>We have filed forms of the warrant agreements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280" w:right="879" w:firstLine="337"/>
        <w:spacing w:after="0" w:line="273" w:lineRule="auto"/>
        <w:rPr>
          <w:sz w:val="20"/>
          <w:szCs w:val="20"/>
          <w:color w:val="auto"/>
        </w:rPr>
      </w:pPr>
      <w:r>
        <w:rPr>
          <w:rFonts w:ascii="Times New Roman" w:cs="Times New Roman" w:eastAsia="Times New Roman" w:hAnsi="Times New Roman"/>
          <w:sz w:val="14"/>
          <w:szCs w:val="14"/>
          <w:color w:val="auto"/>
        </w:rPr>
        <w:t>We will describe in the applicable prospectus supplement the terms relating to a series of warrants being offered, including, to the extent applicable:</w:t>
      </w:r>
    </w:p>
    <w:p>
      <w:pPr>
        <w:spacing w:after="0" w:line="58" w:lineRule="exact"/>
        <w:rPr>
          <w:sz w:val="20"/>
          <w:szCs w:val="20"/>
          <w:color w:val="auto"/>
        </w:rPr>
      </w:pPr>
    </w:p>
    <w:p>
      <w:pPr>
        <w:ind w:left="1020" w:hanging="32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securities;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or prices and aggregate number of warrants offered;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for which the warrants may be purchased;</w:t>
      </w:r>
    </w:p>
    <w:p>
      <w:pPr>
        <w:spacing w:after="0" w:line="97" w:lineRule="exact"/>
        <w:rPr>
          <w:rFonts w:ascii="Times New Roman" w:cs="Times New Roman" w:eastAsia="Times New Roman" w:hAnsi="Times New Roman"/>
          <w:sz w:val="14"/>
          <w:szCs w:val="14"/>
          <w:color w:val="auto"/>
        </w:rPr>
      </w:pPr>
    </w:p>
    <w:p>
      <w:pPr>
        <w:ind w:left="1020" w:right="479" w:hanging="322"/>
        <w:spacing w:after="0" w:line="273"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which may be exercised at any one time;</w:t>
      </w:r>
    </w:p>
    <w:p>
      <w:pPr>
        <w:spacing w:after="0" w:line="97" w:lineRule="exact"/>
        <w:rPr>
          <w:rFonts w:ascii="Times New Roman" w:cs="Times New Roman" w:eastAsia="Times New Roman" w:hAnsi="Times New Roman"/>
          <w:sz w:val="14"/>
          <w:szCs w:val="14"/>
          <w:color w:val="auto"/>
        </w:rPr>
      </w:pPr>
    </w:p>
    <w:p>
      <w:pPr>
        <w:ind w:left="1020" w:right="299" w:hanging="322"/>
        <w:spacing w:after="0" w:line="273"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57" w:lineRule="exact"/>
        <w:rPr>
          <w:rFonts w:ascii="Times New Roman" w:cs="Times New Roman" w:eastAsia="Times New Roman" w:hAnsi="Times New Roman"/>
          <w:sz w:val="14"/>
          <w:szCs w:val="14"/>
          <w:color w:val="auto"/>
        </w:rPr>
      </w:pPr>
    </w:p>
    <w:p>
      <w:pPr>
        <w:ind w:left="1020" w:right="339" w:hanging="322"/>
        <w:spacing w:after="0" w:line="259"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68"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agreements and the warrants;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6" w:right="1440" w:bottom="1440" w:gutter="0" w:footer="0" w:header="0"/>
        </w:sectPr>
      </w:pPr>
    </w:p>
    <w:bookmarkStart w:id="26" w:name="page27"/>
    <w:bookmarkEnd w:id="26"/>
    <w:p>
      <w:pPr>
        <w:ind w:left="1020" w:hanging="32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terms of any rights to redeem or call the warrants;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force the exercise of the warrants;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agreements and warrants may be modified;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or special U.S. federal income tax consequences of holding or exercising the warrants;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70" w:lineRule="exact"/>
        <w:rPr>
          <w:sz w:val="20"/>
          <w:szCs w:val="20"/>
          <w:color w:val="auto"/>
        </w:rPr>
      </w:pPr>
    </w:p>
    <w:p>
      <w:pPr>
        <w:ind w:left="280" w:right="499" w:firstLine="337"/>
        <w:spacing w:after="0" w:line="273" w:lineRule="auto"/>
        <w:rPr>
          <w:sz w:val="20"/>
          <w:szCs w:val="20"/>
          <w:color w:val="auto"/>
        </w:rPr>
      </w:pPr>
      <w:r>
        <w:rPr>
          <w:rFonts w:ascii="Times New Roman" w:cs="Times New Roman" w:eastAsia="Times New Roman" w:hAnsi="Times New Roman"/>
          <w:sz w:val="14"/>
          <w:szCs w:val="14"/>
          <w:color w:val="auto"/>
        </w:rPr>
        <w:t>Before exercising their warrants, holders of warrants will not have any of the rights of holders of the securities purchasable upon such exercise, including:</w:t>
      </w:r>
    </w:p>
    <w:p>
      <w:pPr>
        <w:spacing w:after="0" w:line="58" w:lineRule="exact"/>
        <w:rPr>
          <w:sz w:val="20"/>
          <w:szCs w:val="20"/>
          <w:color w:val="auto"/>
        </w:rPr>
      </w:pPr>
    </w:p>
    <w:p>
      <w:pPr>
        <w:ind w:left="1020" w:right="359" w:hanging="322"/>
        <w:spacing w:after="0" w:line="273"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57" w:lineRule="exact"/>
        <w:rPr>
          <w:rFonts w:ascii="Times New Roman" w:cs="Times New Roman" w:eastAsia="Times New Roman" w:hAnsi="Times New Roman"/>
          <w:sz w:val="14"/>
          <w:szCs w:val="14"/>
          <w:color w:val="auto"/>
        </w:rPr>
      </w:pPr>
    </w:p>
    <w:p>
      <w:pPr>
        <w:ind w:left="1020" w:right="879" w:hanging="322"/>
        <w:spacing w:after="0" w:line="273"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right to receive dividends, if any, or, payments upon our liquidation, dissolution or winding up or to exercise voting rights, if any.</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91" w:lineRule="exact"/>
        <w:rPr>
          <w:sz w:val="20"/>
          <w:szCs w:val="20"/>
          <w:color w:val="auto"/>
        </w:rPr>
      </w:pPr>
    </w:p>
    <w:p>
      <w:pPr>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43" w:lineRule="exact"/>
        <w:rPr>
          <w:sz w:val="20"/>
          <w:szCs w:val="20"/>
          <w:color w:val="auto"/>
        </w:rPr>
      </w:pPr>
    </w:p>
    <w:p>
      <w:pPr>
        <w:ind w:left="280" w:right="359" w:firstLine="337"/>
        <w:spacing w:after="0" w:line="253" w:lineRule="auto"/>
        <w:rPr>
          <w:sz w:val="20"/>
          <w:szCs w:val="20"/>
          <w:color w:val="auto"/>
        </w:rPr>
      </w:pPr>
      <w:r>
        <w:rPr>
          <w:rFonts w:ascii="Times New Roman" w:cs="Times New Roman" w:eastAsia="Times New Roman" w:hAnsi="Times New Roman"/>
          <w:sz w:val="14"/>
          <w:szCs w:val="14"/>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44" w:lineRule="exact"/>
        <w:rPr>
          <w:sz w:val="20"/>
          <w:szCs w:val="20"/>
          <w:color w:val="auto"/>
        </w:rPr>
      </w:pPr>
    </w:p>
    <w:p>
      <w:pPr>
        <w:ind w:left="280" w:right="299" w:firstLine="337"/>
        <w:spacing w:after="0" w:line="253" w:lineRule="auto"/>
        <w:rPr>
          <w:sz w:val="20"/>
          <w:szCs w:val="20"/>
          <w:color w:val="auto"/>
        </w:rPr>
      </w:pPr>
      <w:r>
        <w:rPr>
          <w:rFonts w:ascii="Times New Roman" w:cs="Times New Roman" w:eastAsia="Times New Roman" w:hAnsi="Times New Roman"/>
          <w:sz w:val="14"/>
          <w:szCs w:val="14"/>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jc w:val="both"/>
        <w:ind w:left="280" w:right="319" w:firstLine="337"/>
        <w:spacing w:after="0" w:line="312" w:lineRule="auto"/>
        <w:rPr>
          <w:sz w:val="20"/>
          <w:szCs w:val="20"/>
          <w:color w:val="auto"/>
        </w:rPr>
      </w:pPr>
      <w:r>
        <w:rPr>
          <w:rFonts w:ascii="Times New Roman" w:cs="Times New Roman" w:eastAsia="Times New Roman" w:hAnsi="Times New Roman"/>
          <w:sz w:val="13"/>
          <w:szCs w:val="13"/>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27" w:name="page28"/>
    <w:bookmarkEnd w:id="27"/>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Enforceability of Rights by Holders of Warrants</w:t>
      </w:r>
    </w:p>
    <w:p>
      <w:pPr>
        <w:spacing w:after="0" w:line="91" w:lineRule="exact"/>
        <w:rPr>
          <w:sz w:val="20"/>
          <w:szCs w:val="20"/>
          <w:color w:val="auto"/>
        </w:rPr>
      </w:pPr>
    </w:p>
    <w:p>
      <w:pPr>
        <w:ind w:left="280" w:right="359" w:firstLine="337"/>
        <w:spacing w:after="0" w:line="251" w:lineRule="auto"/>
        <w:rPr>
          <w:sz w:val="20"/>
          <w:szCs w:val="20"/>
          <w:color w:val="auto"/>
        </w:rPr>
      </w:pPr>
      <w:r>
        <w:rPr>
          <w:rFonts w:ascii="Times New Roman" w:cs="Times New Roman" w:eastAsia="Times New Roman" w:hAnsi="Times New Roman"/>
          <w:sz w:val="14"/>
          <w:szCs w:val="14"/>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6"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LEGAL OWNERSHIP OF SECURITIES</w:t>
      </w:r>
    </w:p>
    <w:p>
      <w:pPr>
        <w:spacing w:after="0" w:line="174" w:lineRule="exact"/>
        <w:rPr>
          <w:sz w:val="20"/>
          <w:szCs w:val="20"/>
          <w:color w:val="auto"/>
        </w:rPr>
      </w:pPr>
    </w:p>
    <w:p>
      <w:pPr>
        <w:ind w:left="280" w:right="339" w:firstLine="337"/>
        <w:spacing w:after="0" w:line="253" w:lineRule="auto"/>
        <w:rPr>
          <w:sz w:val="20"/>
          <w:szCs w:val="20"/>
          <w:color w:val="auto"/>
        </w:rPr>
      </w:pPr>
      <w:r>
        <w:rPr>
          <w:rFonts w:ascii="Times New Roman" w:cs="Times New Roman" w:eastAsia="Times New Roman" w:hAnsi="Times New Roman"/>
          <w:sz w:val="14"/>
          <w:szCs w:val="14"/>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Book-Entry Holders</w:t>
      </w:r>
    </w:p>
    <w:p>
      <w:pPr>
        <w:spacing w:after="0" w:line="91" w:lineRule="exact"/>
        <w:rPr>
          <w:sz w:val="20"/>
          <w:szCs w:val="20"/>
          <w:color w:val="auto"/>
        </w:rPr>
      </w:pPr>
    </w:p>
    <w:p>
      <w:pPr>
        <w:ind w:left="280" w:right="499" w:firstLine="337"/>
        <w:spacing w:after="0" w:line="255" w:lineRule="auto"/>
        <w:rPr>
          <w:sz w:val="20"/>
          <w:szCs w:val="20"/>
          <w:color w:val="auto"/>
        </w:rPr>
      </w:pPr>
      <w:r>
        <w:rPr>
          <w:rFonts w:ascii="Times New Roman" w:cs="Times New Roman" w:eastAsia="Times New Roman" w:hAnsi="Times New Roman"/>
          <w:sz w:val="14"/>
          <w:szCs w:val="14"/>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43" w:lineRule="exact"/>
        <w:rPr>
          <w:sz w:val="20"/>
          <w:szCs w:val="20"/>
          <w:color w:val="auto"/>
        </w:rPr>
      </w:pPr>
    </w:p>
    <w:p>
      <w:pPr>
        <w:ind w:left="280" w:right="339" w:firstLine="337"/>
        <w:spacing w:after="0" w:line="253" w:lineRule="auto"/>
        <w:rPr>
          <w:sz w:val="20"/>
          <w:szCs w:val="20"/>
          <w:color w:val="auto"/>
        </w:rPr>
      </w:pPr>
      <w:r>
        <w:rPr>
          <w:rFonts w:ascii="Times New Roman" w:cs="Times New Roman" w:eastAsia="Times New Roman" w:hAnsi="Times New Roman"/>
          <w:sz w:val="14"/>
          <w:szCs w:val="14"/>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44" w:lineRule="exact"/>
        <w:rPr>
          <w:sz w:val="20"/>
          <w:szCs w:val="20"/>
          <w:color w:val="auto"/>
        </w:rPr>
      </w:pPr>
    </w:p>
    <w:p>
      <w:pPr>
        <w:jc w:val="both"/>
        <w:ind w:left="280" w:right="319" w:firstLine="337"/>
        <w:spacing w:after="0" w:line="259" w:lineRule="auto"/>
        <w:rPr>
          <w:sz w:val="20"/>
          <w:szCs w:val="20"/>
          <w:color w:val="auto"/>
        </w:rPr>
      </w:pPr>
      <w:r>
        <w:rPr>
          <w:rFonts w:ascii="Times New Roman" w:cs="Times New Roman" w:eastAsia="Times New Roman" w:hAnsi="Times New Roman"/>
          <w:sz w:val="14"/>
          <w:szCs w:val="14"/>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Street Name Holders</w:t>
      </w:r>
    </w:p>
    <w:p>
      <w:pPr>
        <w:spacing w:after="0" w:line="91" w:lineRule="exact"/>
        <w:rPr>
          <w:sz w:val="20"/>
          <w:szCs w:val="20"/>
          <w:color w:val="auto"/>
        </w:rPr>
      </w:pPr>
    </w:p>
    <w:p>
      <w:pPr>
        <w:ind w:left="280" w:right="399" w:firstLine="337"/>
        <w:spacing w:after="0" w:line="255" w:lineRule="auto"/>
        <w:rPr>
          <w:sz w:val="20"/>
          <w:szCs w:val="20"/>
          <w:color w:val="auto"/>
        </w:rPr>
      </w:pPr>
      <w:r>
        <w:rPr>
          <w:rFonts w:ascii="Times New Roman" w:cs="Times New Roman" w:eastAsia="Times New Roman" w:hAnsi="Times New Roman"/>
          <w:sz w:val="14"/>
          <w:szCs w:val="14"/>
          <w:color w:val="auto"/>
        </w:rPr>
        <w:t>A global security may be terminated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43" w:lineRule="exact"/>
        <w:rPr>
          <w:sz w:val="20"/>
          <w:szCs w:val="20"/>
          <w:color w:val="auto"/>
        </w:rPr>
      </w:pPr>
    </w:p>
    <w:p>
      <w:pPr>
        <w:ind w:left="280" w:right="359" w:firstLine="337"/>
        <w:spacing w:after="0" w:line="253" w:lineRule="auto"/>
        <w:rPr>
          <w:sz w:val="20"/>
          <w:szCs w:val="20"/>
          <w:color w:val="auto"/>
        </w:rPr>
      </w:pPr>
      <w:r>
        <w:rPr>
          <w:rFonts w:ascii="Times New Roman" w:cs="Times New Roman" w:eastAsia="Times New Roman" w:hAnsi="Times New Roman"/>
          <w:sz w:val="14"/>
          <w:szCs w:val="14"/>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Legal Holders</w:t>
      </w:r>
    </w:p>
    <w:p>
      <w:pPr>
        <w:spacing w:after="0" w:line="91" w:lineRule="exact"/>
        <w:rPr>
          <w:sz w:val="20"/>
          <w:szCs w:val="20"/>
          <w:color w:val="auto"/>
        </w:rPr>
      </w:pPr>
    </w:p>
    <w:p>
      <w:pPr>
        <w:ind w:left="280" w:right="399" w:firstLine="337"/>
        <w:spacing w:after="0" w:line="255" w:lineRule="auto"/>
        <w:rPr>
          <w:sz w:val="20"/>
          <w:szCs w:val="20"/>
          <w:color w:val="auto"/>
        </w:rPr>
      </w:pPr>
      <w:r>
        <w:rPr>
          <w:rFonts w:ascii="Times New Roman" w:cs="Times New Roman" w:eastAsia="Times New Roman" w:hAnsi="Times New Roman"/>
          <w:sz w:val="14"/>
          <w:szCs w:val="14"/>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6" w:right="1440" w:bottom="1440" w:gutter="0" w:footer="0" w:header="0"/>
        </w:sectPr>
      </w:pPr>
    </w:p>
    <w:bookmarkStart w:id="29" w:name="page30"/>
    <w:bookmarkEnd w:id="29"/>
    <w:p>
      <w:pPr>
        <w:ind w:left="280" w:right="339" w:firstLine="337"/>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Special Considerations for Indirect Holders</w:t>
      </w:r>
    </w:p>
    <w:p>
      <w:pPr>
        <w:spacing w:after="0" w:line="91" w:lineRule="exact"/>
        <w:rPr>
          <w:sz w:val="20"/>
          <w:szCs w:val="20"/>
          <w:color w:val="auto"/>
        </w:rPr>
      </w:pPr>
    </w:p>
    <w:p>
      <w:pPr>
        <w:ind w:left="280" w:right="399" w:firstLine="337"/>
        <w:spacing w:after="0" w:line="273" w:lineRule="auto"/>
        <w:rPr>
          <w:sz w:val="20"/>
          <w:szCs w:val="20"/>
          <w:color w:val="auto"/>
        </w:rPr>
      </w:pPr>
      <w:r>
        <w:rPr>
          <w:rFonts w:ascii="Times New Roman" w:cs="Times New Roman" w:eastAsia="Times New Roman" w:hAnsi="Times New Roman"/>
          <w:sz w:val="14"/>
          <w:szCs w:val="14"/>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58" w:lineRule="exact"/>
        <w:rPr>
          <w:sz w:val="20"/>
          <w:szCs w:val="20"/>
          <w:color w:val="auto"/>
        </w:rPr>
      </w:pPr>
    </w:p>
    <w:p>
      <w:pPr>
        <w:ind w:left="1020" w:hanging="32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handles securities payments and notices;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imposes fees or charges;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handle a request for the holders’ consent, if ever required;</w:t>
      </w:r>
    </w:p>
    <w:p>
      <w:pPr>
        <w:spacing w:after="0" w:line="97" w:lineRule="exact"/>
        <w:rPr>
          <w:rFonts w:ascii="Times New Roman" w:cs="Times New Roman" w:eastAsia="Times New Roman" w:hAnsi="Times New Roman"/>
          <w:sz w:val="14"/>
          <w:szCs w:val="14"/>
          <w:color w:val="auto"/>
        </w:rPr>
      </w:pPr>
    </w:p>
    <w:p>
      <w:pPr>
        <w:ind w:left="1020" w:right="479" w:hanging="322"/>
        <w:spacing w:after="0" w:line="273" w:lineRule="auto"/>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how you can instruct it to send you securities registered in your own name so you can be a holder, if that is permitted in the future;</w:t>
      </w:r>
    </w:p>
    <w:p>
      <w:pPr>
        <w:spacing w:after="0" w:line="57" w:lineRule="exact"/>
        <w:rPr>
          <w:rFonts w:ascii="Times New Roman" w:cs="Times New Roman" w:eastAsia="Times New Roman" w:hAnsi="Times New Roman"/>
          <w:sz w:val="14"/>
          <w:szCs w:val="14"/>
          <w:color w:val="auto"/>
        </w:rPr>
      </w:pPr>
    </w:p>
    <w:p>
      <w:pPr>
        <w:ind w:left="1020" w:right="379" w:hanging="322"/>
        <w:spacing w:after="0" w:line="273" w:lineRule="auto"/>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exercise rights under the securities if there were a default or other event triggering the need for holders to act to protect their interests; and</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in book-entry form, how the depositary’s rules and procedures will affect these matters.</w:t>
      </w:r>
    </w:p>
    <w:p>
      <w:pPr>
        <w:spacing w:after="0" w:line="2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1" w:lineRule="exact"/>
        <w:rPr>
          <w:sz w:val="20"/>
          <w:szCs w:val="20"/>
          <w:color w:val="auto"/>
        </w:rPr>
      </w:pPr>
    </w:p>
    <w:p>
      <w:pPr>
        <w:ind w:left="280" w:right="739" w:firstLine="337"/>
        <w:spacing w:after="0" w:line="273" w:lineRule="auto"/>
        <w:rPr>
          <w:sz w:val="20"/>
          <w:szCs w:val="20"/>
          <w:color w:val="auto"/>
        </w:rPr>
      </w:pPr>
      <w:r>
        <w:rPr>
          <w:rFonts w:ascii="Times New Roman" w:cs="Times New Roman" w:eastAsia="Times New Roman" w:hAnsi="Times New Roman"/>
          <w:sz w:val="14"/>
          <w:szCs w:val="14"/>
          <w:color w:val="auto"/>
        </w:rPr>
        <w:t>A global security is a security that represents one or any other number of individual securities held by a depositary. Generally, all securities represented by the same global securities will have the same terms.</w:t>
      </w:r>
    </w:p>
    <w:p>
      <w:pPr>
        <w:spacing w:after="0" w:line="130" w:lineRule="exact"/>
        <w:rPr>
          <w:sz w:val="20"/>
          <w:szCs w:val="20"/>
          <w:color w:val="auto"/>
        </w:rPr>
      </w:pPr>
    </w:p>
    <w:p>
      <w:pPr>
        <w:ind w:left="280" w:right="619" w:firstLine="337"/>
        <w:spacing w:after="0" w:line="259" w:lineRule="auto"/>
        <w:rPr>
          <w:sz w:val="20"/>
          <w:szCs w:val="20"/>
          <w:color w:val="auto"/>
        </w:rPr>
      </w:pPr>
      <w:r>
        <w:rPr>
          <w:rFonts w:ascii="Times New Roman" w:cs="Times New Roman" w:eastAsia="Times New Roman" w:hAnsi="Times New Roman"/>
          <w:sz w:val="14"/>
          <w:szCs w:val="14"/>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DTC will be the depositary for all securities issued in book-entry form.</w:t>
      </w:r>
    </w:p>
    <w:p>
      <w:pPr>
        <w:spacing w:after="0" w:line="141" w:lineRule="exact"/>
        <w:rPr>
          <w:sz w:val="20"/>
          <w:szCs w:val="20"/>
          <w:color w:val="auto"/>
        </w:rPr>
      </w:pPr>
    </w:p>
    <w:p>
      <w:pPr>
        <w:ind w:left="280" w:right="359" w:firstLine="337"/>
        <w:spacing w:after="0" w:line="251" w:lineRule="auto"/>
        <w:rPr>
          <w:sz w:val="20"/>
          <w:szCs w:val="20"/>
          <w:color w:val="auto"/>
        </w:rPr>
      </w:pPr>
      <w:r>
        <w:rPr>
          <w:rFonts w:ascii="Times New Roman" w:cs="Times New Roman" w:eastAsia="Times New Roman" w:hAnsi="Times New Roman"/>
          <w:sz w:val="14"/>
          <w:szCs w:val="14"/>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45" w:lineRule="exact"/>
        <w:rPr>
          <w:sz w:val="20"/>
          <w:szCs w:val="20"/>
          <w:color w:val="auto"/>
        </w:rPr>
      </w:pPr>
    </w:p>
    <w:p>
      <w:pPr>
        <w:ind w:left="280" w:right="379" w:firstLine="337"/>
        <w:spacing w:after="0" w:line="259" w:lineRule="auto"/>
        <w:rPr>
          <w:sz w:val="20"/>
          <w:szCs w:val="20"/>
          <w:color w:val="auto"/>
        </w:rPr>
      </w:pPr>
      <w:r>
        <w:rPr>
          <w:rFonts w:ascii="Times New Roman" w:cs="Times New Roman" w:eastAsia="Times New Roman" w:hAnsi="Times New Roman"/>
          <w:sz w:val="14"/>
          <w:szCs w:val="14"/>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30" w:name="page31"/>
    <w:bookmarkEnd w:id="30"/>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Special Considerations for Global Securities</w:t>
      </w:r>
    </w:p>
    <w:p>
      <w:pPr>
        <w:spacing w:after="0" w:line="91" w:lineRule="exact"/>
        <w:rPr>
          <w:sz w:val="20"/>
          <w:szCs w:val="20"/>
          <w:color w:val="auto"/>
        </w:rPr>
      </w:pPr>
    </w:p>
    <w:p>
      <w:pPr>
        <w:jc w:val="both"/>
        <w:ind w:left="280" w:right="379" w:firstLine="337"/>
        <w:spacing w:after="0" w:line="259" w:lineRule="auto"/>
        <w:rPr>
          <w:sz w:val="20"/>
          <w:szCs w:val="20"/>
          <w:color w:val="auto"/>
        </w:rPr>
      </w:pPr>
      <w:r>
        <w:rPr>
          <w:rFonts w:ascii="Times New Roman" w:cs="Times New Roman" w:eastAsia="Times New Roman" w:hAnsi="Times New Roman"/>
          <w:sz w:val="14"/>
          <w:szCs w:val="14"/>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If securities are issued only as global securities, an investor should be aware of the following:</w:t>
      </w:r>
    </w:p>
    <w:p>
      <w:pPr>
        <w:spacing w:after="0" w:line="98" w:lineRule="exact"/>
        <w:rPr>
          <w:sz w:val="20"/>
          <w:szCs w:val="20"/>
          <w:color w:val="auto"/>
        </w:rPr>
      </w:pPr>
    </w:p>
    <w:p>
      <w:pPr>
        <w:ind w:left="1020" w:right="319" w:hanging="322"/>
        <w:spacing w:after="0" w:line="273"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cannot cause the securities to be registered in his or her name, and cannot obtain non-global certificates for his or her interest in the securities, except in the special situations we describe below;</w:t>
      </w:r>
    </w:p>
    <w:p>
      <w:pPr>
        <w:spacing w:after="0" w:line="57" w:lineRule="exact"/>
        <w:rPr>
          <w:rFonts w:ascii="Times New Roman" w:cs="Times New Roman" w:eastAsia="Times New Roman" w:hAnsi="Times New Roman"/>
          <w:sz w:val="14"/>
          <w:szCs w:val="14"/>
          <w:color w:val="auto"/>
        </w:rPr>
      </w:pPr>
    </w:p>
    <w:p>
      <w:pPr>
        <w:ind w:left="1020" w:right="319" w:hanging="322"/>
        <w:spacing w:after="0" w:line="273"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will be an indirect holder and must look to his or her own bank or broker for payments on the securities and protection of his or her legal rights relating to the securities, as we describe above;</w:t>
      </w:r>
    </w:p>
    <w:p>
      <w:pPr>
        <w:spacing w:after="0" w:line="57" w:lineRule="exact"/>
        <w:rPr>
          <w:rFonts w:ascii="Times New Roman" w:cs="Times New Roman" w:eastAsia="Times New Roman" w:hAnsi="Times New Roman"/>
          <w:sz w:val="14"/>
          <w:szCs w:val="14"/>
          <w:color w:val="auto"/>
        </w:rPr>
      </w:pPr>
    </w:p>
    <w:p>
      <w:pPr>
        <w:ind w:left="1020" w:right="379" w:hanging="322"/>
        <w:spacing w:after="0" w:line="273"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sell interests in the securities to some insurance companies and to other institutions that are required by law to own their securities in non-book-entry form;</w:t>
      </w:r>
    </w:p>
    <w:p>
      <w:pPr>
        <w:spacing w:after="0" w:line="57" w:lineRule="exact"/>
        <w:rPr>
          <w:rFonts w:ascii="Times New Roman" w:cs="Times New Roman" w:eastAsia="Times New Roman" w:hAnsi="Times New Roman"/>
          <w:sz w:val="14"/>
          <w:szCs w:val="14"/>
          <w:color w:val="auto"/>
        </w:rPr>
      </w:pPr>
    </w:p>
    <w:p>
      <w:pPr>
        <w:ind w:left="1020" w:right="299" w:hanging="322"/>
        <w:spacing w:after="0" w:line="273"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57" w:lineRule="exact"/>
        <w:rPr>
          <w:rFonts w:ascii="Times New Roman" w:cs="Times New Roman" w:eastAsia="Times New Roman" w:hAnsi="Times New Roman"/>
          <w:sz w:val="14"/>
          <w:szCs w:val="14"/>
          <w:color w:val="auto"/>
        </w:rPr>
      </w:pPr>
    </w:p>
    <w:p>
      <w:pPr>
        <w:ind w:left="1020" w:right="359" w:hanging="322"/>
        <w:spacing w:after="0" w:line="273"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depositary’s policies, which may change from time to time, will govern payments, transfers, exchanges and other matters relating to an investor’s interest in the global security;</w:t>
      </w:r>
    </w:p>
    <w:p>
      <w:pPr>
        <w:spacing w:after="0" w:line="57" w:lineRule="exact"/>
        <w:rPr>
          <w:rFonts w:ascii="Times New Roman" w:cs="Times New Roman" w:eastAsia="Times New Roman" w:hAnsi="Times New Roman"/>
          <w:sz w:val="14"/>
          <w:szCs w:val="14"/>
          <w:color w:val="auto"/>
        </w:rPr>
      </w:pPr>
    </w:p>
    <w:p>
      <w:pPr>
        <w:ind w:left="1020" w:right="479" w:hanging="322"/>
        <w:spacing w:after="0" w:line="273"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57" w:lineRule="exact"/>
        <w:rPr>
          <w:rFonts w:ascii="Times New Roman" w:cs="Times New Roman" w:eastAsia="Times New Roman" w:hAnsi="Times New Roman"/>
          <w:sz w:val="14"/>
          <w:szCs w:val="14"/>
          <w:color w:val="auto"/>
        </w:rPr>
      </w:pPr>
    </w:p>
    <w:p>
      <w:pPr>
        <w:ind w:left="1020" w:right="519" w:hanging="322"/>
        <w:spacing w:after="0" w:line="273"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57" w:lineRule="exact"/>
        <w:rPr>
          <w:rFonts w:ascii="Times New Roman" w:cs="Times New Roman" w:eastAsia="Times New Roman" w:hAnsi="Times New Roman"/>
          <w:sz w:val="14"/>
          <w:szCs w:val="14"/>
          <w:color w:val="auto"/>
        </w:rPr>
      </w:pPr>
    </w:p>
    <w:p>
      <w:pPr>
        <w:ind w:left="1020" w:right="499" w:hanging="322"/>
        <w:spacing w:after="0" w:line="273"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30" w:lineRule="exact"/>
        <w:rPr>
          <w:sz w:val="20"/>
          <w:szCs w:val="20"/>
          <w:color w:val="auto"/>
        </w:rPr>
      </w:pPr>
    </w:p>
    <w:p>
      <w:pPr>
        <w:ind w:left="280" w:right="479" w:firstLine="337"/>
        <w:spacing w:after="0" w:line="273" w:lineRule="auto"/>
        <w:rPr>
          <w:sz w:val="20"/>
          <w:szCs w:val="20"/>
          <w:color w:val="auto"/>
        </w:rPr>
      </w:pPr>
      <w:r>
        <w:rPr>
          <w:rFonts w:ascii="Times New Roman" w:cs="Times New Roman" w:eastAsia="Times New Roman" w:hAnsi="Times New Roman"/>
          <w:sz w:val="14"/>
          <w:szCs w:val="14"/>
          <w:color w:val="auto"/>
        </w:rPr>
        <w:t>There may be more than one financial intermediary in the chain of ownership for an investor. We do not monitor and are not responsible for the actions of any of those intermediaries.</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Special Situations When a Global Security Will Be Terminated</w:t>
      </w:r>
    </w:p>
    <w:p>
      <w:pPr>
        <w:spacing w:after="0" w:line="91" w:lineRule="exact"/>
        <w:rPr>
          <w:sz w:val="20"/>
          <w:szCs w:val="20"/>
          <w:color w:val="auto"/>
        </w:rPr>
      </w:pPr>
    </w:p>
    <w:p>
      <w:pPr>
        <w:ind w:left="280" w:right="459" w:firstLine="337"/>
        <w:spacing w:after="0" w:line="255" w:lineRule="auto"/>
        <w:rPr>
          <w:sz w:val="20"/>
          <w:szCs w:val="20"/>
          <w:color w:val="auto"/>
        </w:rPr>
      </w:pPr>
      <w:r>
        <w:rPr>
          <w:rFonts w:ascii="Times New Roman" w:cs="Times New Roman" w:eastAsia="Times New Roman" w:hAnsi="Times New Roman"/>
          <w:sz w:val="14"/>
          <w:szCs w:val="14"/>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43" w:lineRule="exact"/>
        <w:rPr>
          <w:sz w:val="20"/>
          <w:szCs w:val="20"/>
          <w:color w:val="auto"/>
        </w:rPr>
      </w:pPr>
    </w:p>
    <w:p>
      <w:pPr>
        <w:ind w:left="280" w:right="579" w:firstLine="337"/>
        <w:spacing w:after="0" w:line="273" w:lineRule="auto"/>
        <w:rPr>
          <w:sz w:val="20"/>
          <w:szCs w:val="20"/>
          <w:color w:val="auto"/>
        </w:rPr>
      </w:pPr>
      <w:r>
        <w:rPr>
          <w:rFonts w:ascii="Times New Roman" w:cs="Times New Roman" w:eastAsia="Times New Roman" w:hAnsi="Times New Roman"/>
          <w:sz w:val="14"/>
          <w:szCs w:val="14"/>
          <w:color w:val="auto"/>
        </w:rPr>
        <w:t>Unless we provide otherwise in the applicable prospectus supplement, the global security will terminate when the following special situations occur:</w:t>
      </w:r>
    </w:p>
    <w:p>
      <w:pPr>
        <w:spacing w:after="0" w:line="58" w:lineRule="exact"/>
        <w:rPr>
          <w:sz w:val="20"/>
          <w:szCs w:val="20"/>
          <w:color w:val="auto"/>
        </w:rPr>
      </w:pPr>
    </w:p>
    <w:p>
      <w:pPr>
        <w:ind w:left="1020" w:right="479" w:hanging="322"/>
        <w:spacing w:after="0" w:line="273" w:lineRule="auto"/>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depositary notifies us that it is unwilling, unable or no longer qualified to continue as depositary for that global security and we do not appoint another institution to act as depositary within 90 days;</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notify any applicable trustee that we wish to terminate that global security; or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with regard to securities represented by that global security and has not been cured or waived.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6" w:right="1440" w:bottom="1440" w:gutter="0" w:footer="0" w:header="0"/>
        </w:sectPr>
      </w:pPr>
    </w:p>
    <w:bookmarkStart w:id="31" w:name="page32"/>
    <w:bookmarkEnd w:id="31"/>
    <w:p>
      <w:pPr>
        <w:jc w:val="both"/>
        <w:ind w:left="280" w:right="419" w:firstLine="337"/>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0"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PLAN OF DISTRIBUTION</w:t>
      </w:r>
    </w:p>
    <w:p>
      <w:pPr>
        <w:spacing w:after="0" w:line="174" w:lineRule="exact"/>
        <w:rPr>
          <w:sz w:val="20"/>
          <w:szCs w:val="20"/>
          <w:color w:val="auto"/>
        </w:rPr>
      </w:pPr>
    </w:p>
    <w:p>
      <w:pPr>
        <w:ind w:left="280" w:right="319" w:firstLine="337"/>
        <w:spacing w:after="0" w:line="259" w:lineRule="auto"/>
        <w:rPr>
          <w:sz w:val="20"/>
          <w:szCs w:val="20"/>
          <w:color w:val="auto"/>
        </w:rPr>
      </w:pPr>
      <w:r>
        <w:rPr>
          <w:rFonts w:ascii="Times New Roman" w:cs="Times New Roman" w:eastAsia="Times New Roman" w:hAnsi="Times New Roman"/>
          <w:sz w:val="14"/>
          <w:szCs w:val="14"/>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68" w:lineRule="exact"/>
        <w:rPr>
          <w:sz w:val="20"/>
          <w:szCs w:val="20"/>
          <w:color w:val="auto"/>
        </w:rPr>
      </w:pPr>
    </w:p>
    <w:p>
      <w:pPr>
        <w:ind w:left="1020" w:hanging="32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may also sell equity securities covered by this registration statement in an “at the market offering” as defined in Rule 415(a)(4) under the</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Securities Act. Such offering may be made into an existing trading market for such securities in transactions at other than a fixed price, either:</w:t>
      </w:r>
    </w:p>
    <w:p>
      <w:pPr>
        <w:spacing w:after="0" w:line="84" w:lineRule="exact"/>
        <w:rPr>
          <w:sz w:val="20"/>
          <w:szCs w:val="20"/>
          <w:color w:val="auto"/>
        </w:rPr>
      </w:pPr>
    </w:p>
    <w:p>
      <w:pPr>
        <w:ind w:left="1020" w:right="419" w:hanging="322"/>
        <w:spacing w:after="0" w:line="273"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through the facilities of The Nasdaq Global Select Market or any other securities exchange or quotation or trading service on which such securities may be listed, quoted or traded at the time of sale; and/or</w:t>
      </w:r>
    </w:p>
    <w:p>
      <w:pPr>
        <w:spacing w:after="0" w:line="57" w:lineRule="exact"/>
        <w:rPr>
          <w:rFonts w:ascii="Times New Roman" w:cs="Times New Roman" w:eastAsia="Times New Roman" w:hAnsi="Times New Roman"/>
          <w:sz w:val="14"/>
          <w:szCs w:val="14"/>
          <w:color w:val="auto"/>
        </w:rPr>
      </w:pPr>
    </w:p>
    <w:p>
      <w:pPr>
        <w:ind w:left="1020" w:right="519" w:hanging="322"/>
        <w:spacing w:after="0" w:line="273"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a market maker other than on The Nasdaq Global Select Market or such other securities exchanges or quotation or trading services.</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Such “at the market offerings”, if any, may be conducted by underwriters acting as principal or agent.</w:t>
      </w:r>
    </w:p>
    <w:p>
      <w:pPr>
        <w:spacing w:after="0" w:line="170" w:lineRule="exact"/>
        <w:rPr>
          <w:sz w:val="20"/>
          <w:szCs w:val="20"/>
          <w:color w:val="auto"/>
        </w:rPr>
      </w:pPr>
    </w:p>
    <w:p>
      <w:pPr>
        <w:ind w:left="280" w:right="439" w:firstLine="337"/>
        <w:spacing w:after="0" w:line="273" w:lineRule="auto"/>
        <w:rPr>
          <w:sz w:val="20"/>
          <w:szCs w:val="20"/>
          <w:color w:val="auto"/>
        </w:rPr>
      </w:pPr>
      <w:r>
        <w:rPr>
          <w:rFonts w:ascii="Times New Roman" w:cs="Times New Roman" w:eastAsia="Times New Roman" w:hAnsi="Times New Roman"/>
          <w:sz w:val="14"/>
          <w:szCs w:val="14"/>
          <w:color w:val="auto"/>
        </w:rPr>
        <w:t>A prospectus supplement or supplements (and any related free writing prospectus that we may authorize to be provided to you) will describe the terms of the offering of the securities, including, to the extent applicable:</w:t>
      </w:r>
    </w:p>
    <w:p>
      <w:pPr>
        <w:spacing w:after="0" w:line="58" w:lineRule="exact"/>
        <w:rPr>
          <w:sz w:val="20"/>
          <w:szCs w:val="20"/>
          <w:color w:val="auto"/>
        </w:rPr>
      </w:pPr>
    </w:p>
    <w:p>
      <w:pPr>
        <w:ind w:left="1020" w:hanging="32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or agents, if any;</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and the proceeds we will receive from the sale;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options under which underwriters may purchase additional securities from us;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agency fees or underwriting discounts and other items constituting agents’ or underwriters’ compensation;</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on which the securities may be listed.</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Only underwriters named in the prospectus supplement are underwriters of the securities offered by the prospectus supplement.</w:t>
      </w:r>
    </w:p>
    <w:p>
      <w:pPr>
        <w:spacing w:after="0" w:line="170" w:lineRule="exact"/>
        <w:rPr>
          <w:sz w:val="20"/>
          <w:szCs w:val="20"/>
          <w:color w:val="auto"/>
        </w:rPr>
      </w:pPr>
    </w:p>
    <w:p>
      <w:pPr>
        <w:ind w:left="280" w:right="399" w:firstLine="337"/>
        <w:spacing w:after="0" w:line="251" w:lineRule="auto"/>
        <w:rPr>
          <w:sz w:val="20"/>
          <w:szCs w:val="20"/>
          <w:color w:val="auto"/>
        </w:rPr>
      </w:pPr>
      <w:r>
        <w:rPr>
          <w:rFonts w:ascii="Times New Roman" w:cs="Times New Roman" w:eastAsia="Times New Roman" w:hAnsi="Times New Roman"/>
          <w:sz w:val="14"/>
          <w:szCs w:val="14"/>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6" w:right="1440" w:bottom="1440" w:gutter="0" w:footer="0" w:header="0"/>
        </w:sectPr>
      </w:pPr>
    </w:p>
    <w:bookmarkStart w:id="33" w:name="page34"/>
    <w:bookmarkEnd w:id="33"/>
    <w:p>
      <w:pPr>
        <w:ind w:left="280" w:right="599" w:firstLine="337"/>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41" w:lineRule="exact"/>
        <w:rPr>
          <w:sz w:val="20"/>
          <w:szCs w:val="20"/>
          <w:color w:val="auto"/>
        </w:rPr>
      </w:pPr>
    </w:p>
    <w:p>
      <w:pPr>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3" w:lineRule="exact"/>
        <w:rPr>
          <w:sz w:val="20"/>
          <w:szCs w:val="20"/>
          <w:color w:val="auto"/>
        </w:rPr>
      </w:pPr>
    </w:p>
    <w:p>
      <w:pPr>
        <w:ind w:left="280" w:right="759" w:firstLine="337"/>
        <w:spacing w:after="0" w:line="259" w:lineRule="auto"/>
        <w:rPr>
          <w:sz w:val="20"/>
          <w:szCs w:val="20"/>
          <w:color w:val="auto"/>
        </w:rPr>
      </w:pPr>
      <w:r>
        <w:rPr>
          <w:rFonts w:ascii="Times New Roman" w:cs="Times New Roman" w:eastAsia="Times New Roman" w:hAnsi="Times New Roman"/>
          <w:sz w:val="14"/>
          <w:szCs w:val="14"/>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41" w:lineRule="exact"/>
        <w:rPr>
          <w:sz w:val="20"/>
          <w:szCs w:val="20"/>
          <w:color w:val="auto"/>
        </w:rPr>
      </w:pPr>
    </w:p>
    <w:p>
      <w:pPr>
        <w:jc w:val="both"/>
        <w:ind w:left="280" w:right="379" w:firstLine="337"/>
        <w:spacing w:after="0" w:line="259" w:lineRule="auto"/>
        <w:rPr>
          <w:sz w:val="20"/>
          <w:szCs w:val="20"/>
          <w:color w:val="auto"/>
        </w:rPr>
      </w:pPr>
      <w:r>
        <w:rPr>
          <w:rFonts w:ascii="Times New Roman" w:cs="Times New Roman" w:eastAsia="Times New Roman" w:hAnsi="Times New Roman"/>
          <w:sz w:val="14"/>
          <w:szCs w:val="14"/>
          <w:color w:val="auto"/>
        </w:rPr>
        <w:t>Other than common stock, all securities we offer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41"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45"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Any underwriters who are qualified market makers on The Nasdaq Global Select Market may engage in passive market making transactions in the securities on The Nasdaq Global Select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0"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LEGAL MATTERS</w:t>
      </w:r>
    </w:p>
    <w:p>
      <w:pPr>
        <w:spacing w:after="0" w:line="174" w:lineRule="exact"/>
        <w:rPr>
          <w:sz w:val="20"/>
          <w:szCs w:val="20"/>
          <w:color w:val="auto"/>
        </w:rPr>
      </w:pPr>
    </w:p>
    <w:p>
      <w:pPr>
        <w:jc w:val="both"/>
        <w:ind w:left="280" w:right="559" w:firstLine="337"/>
        <w:spacing w:after="0" w:line="259" w:lineRule="auto"/>
        <w:rPr>
          <w:sz w:val="20"/>
          <w:szCs w:val="20"/>
          <w:color w:val="auto"/>
        </w:rPr>
      </w:pPr>
      <w:r>
        <w:rPr>
          <w:rFonts w:ascii="Times New Roman" w:cs="Times New Roman" w:eastAsia="Times New Roman" w:hAnsi="Times New Roman"/>
          <w:sz w:val="14"/>
          <w:szCs w:val="14"/>
          <w:color w:val="auto"/>
        </w:rPr>
        <w:t>Cooley LLP will pass upon the validity of certain legal matters in connection with the offering and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7"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EXPERTS</w:t>
      </w:r>
    </w:p>
    <w:p>
      <w:pPr>
        <w:spacing w:after="0" w:line="174" w:lineRule="exact"/>
        <w:rPr>
          <w:sz w:val="20"/>
          <w:szCs w:val="20"/>
          <w:color w:val="auto"/>
        </w:rPr>
      </w:pPr>
    </w:p>
    <w:p>
      <w:pPr>
        <w:ind w:left="280" w:right="419" w:firstLine="337"/>
        <w:spacing w:after="0" w:line="255" w:lineRule="auto"/>
        <w:rPr>
          <w:sz w:val="20"/>
          <w:szCs w:val="20"/>
          <w:color w:val="auto"/>
        </w:rPr>
      </w:pPr>
      <w:r>
        <w:rPr>
          <w:rFonts w:ascii="Times New Roman" w:cs="Times New Roman" w:eastAsia="Times New Roman" w:hAnsi="Times New Roman"/>
          <w:sz w:val="14"/>
          <w:szCs w:val="14"/>
          <w:color w:val="auto"/>
        </w:rPr>
        <w:t>Ernst &amp; Young LLP, independent registered public accounting firm, has audited our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7" w:right="1440"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WHERE YOU CAN FIND MORE INFORMATION</w:t>
      </w:r>
    </w:p>
    <w:p>
      <w:pPr>
        <w:spacing w:after="0" w:line="174" w:lineRule="exact"/>
        <w:rPr>
          <w:sz w:val="20"/>
          <w:szCs w:val="20"/>
          <w:color w:val="auto"/>
        </w:rPr>
      </w:pPr>
    </w:p>
    <w:p>
      <w:pPr>
        <w:ind w:left="280" w:right="379" w:firstLine="337"/>
        <w:spacing w:after="0" w:line="275" w:lineRule="auto"/>
        <w:rPr>
          <w:sz w:val="20"/>
          <w:szCs w:val="20"/>
          <w:color w:val="auto"/>
        </w:rPr>
      </w:pPr>
      <w:r>
        <w:rPr>
          <w:rFonts w:ascii="Times New Roman" w:cs="Times New Roman" w:eastAsia="Times New Roman" w:hAnsi="Times New Roman"/>
          <w:sz w:val="13"/>
          <w:szCs w:val="13"/>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31" w:lineRule="exact"/>
        <w:rPr>
          <w:sz w:val="20"/>
          <w:szCs w:val="20"/>
          <w:color w:val="auto"/>
        </w:rPr>
      </w:pPr>
    </w:p>
    <w:p>
      <w:pPr>
        <w:ind w:left="280" w:right="379" w:firstLine="337"/>
        <w:spacing w:after="0" w:line="259"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 website that contains reports, proxy statements and other information regarding issuers that file electronically with the SEC, including Design Therapeutics, Inc. The address of the SEC website is www.sec.gov.</w:t>
      </w:r>
    </w:p>
    <w:p>
      <w:pPr>
        <w:spacing w:after="0" w:line="141" w:lineRule="exact"/>
        <w:rPr>
          <w:sz w:val="20"/>
          <w:szCs w:val="20"/>
          <w:color w:val="auto"/>
        </w:rPr>
      </w:pPr>
    </w:p>
    <w:p>
      <w:pPr>
        <w:ind w:left="280" w:right="799" w:firstLine="337"/>
        <w:spacing w:after="0" w:line="273" w:lineRule="auto"/>
        <w:rPr>
          <w:sz w:val="20"/>
          <w:szCs w:val="20"/>
          <w:color w:val="auto"/>
        </w:rPr>
      </w:pPr>
      <w:r>
        <w:rPr>
          <w:rFonts w:ascii="Times New Roman" w:cs="Times New Roman" w:eastAsia="Times New Roman" w:hAnsi="Times New Roman"/>
          <w:sz w:val="14"/>
          <w:szCs w:val="14"/>
          <w:color w:val="auto"/>
        </w:rPr>
        <w:t>We maintain a website at www.designtx.com. Information contained in or accessible through our website does not constitute a part of this prospectus.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6"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INCORPORATION OF CERTAIN INFORMATION BY REFERENCE</w:t>
      </w:r>
    </w:p>
    <w:p>
      <w:pPr>
        <w:spacing w:after="0" w:line="174" w:lineRule="exact"/>
        <w:rPr>
          <w:sz w:val="20"/>
          <w:szCs w:val="20"/>
          <w:color w:val="auto"/>
        </w:rPr>
      </w:pPr>
    </w:p>
    <w:p>
      <w:pPr>
        <w:ind w:left="280" w:right="299" w:firstLine="337"/>
        <w:spacing w:after="0" w:line="249" w:lineRule="auto"/>
        <w:rPr>
          <w:sz w:val="20"/>
          <w:szCs w:val="20"/>
          <w:color w:val="auto"/>
        </w:rPr>
      </w:pPr>
      <w:r>
        <w:rPr>
          <w:rFonts w:ascii="Times New Roman" w:cs="Times New Roman" w:eastAsia="Times New Roman" w:hAnsi="Times New Roman"/>
          <w:sz w:val="14"/>
          <w:szCs w:val="14"/>
          <w:color w:val="auto"/>
        </w:rPr>
        <w:t>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effectiveness of the registration statement, and (ii) after the effectiveness of the registration statement but prior to the termination of all offerings of securities covered by this prospectus:</w:t>
      </w:r>
    </w:p>
    <w:p>
      <w:pPr>
        <w:spacing w:after="0" w:line="77" w:lineRule="exact"/>
        <w:rPr>
          <w:sz w:val="20"/>
          <w:szCs w:val="20"/>
          <w:color w:val="auto"/>
        </w:rPr>
      </w:pPr>
    </w:p>
    <w:p>
      <w:pPr>
        <w:ind w:left="1020" w:hanging="32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fiscal year ended December 31, 2025, filed with the SEC on </w:t>
      </w:r>
      <w:hyperlink r:id="rId60">
        <w:r>
          <w:rPr>
            <w:rFonts w:ascii="Times New Roman" w:cs="Times New Roman" w:eastAsia="Times New Roman" w:hAnsi="Times New Roman"/>
            <w:sz w:val="14"/>
            <w:szCs w:val="14"/>
            <w:u w:val="single" w:color="auto"/>
            <w:color w:val="0000EE"/>
          </w:rPr>
          <w:t>March 9, 2026</w:t>
        </w:r>
      </w:hyperlink>
      <w:r>
        <w:rPr>
          <w:rFonts w:ascii="Times New Roman" w:cs="Times New Roman" w:eastAsia="Times New Roman" w:hAnsi="Times New Roman"/>
          <w:sz w:val="14"/>
          <w:szCs w:val="14"/>
          <w:color w:val="auto"/>
        </w:rPr>
        <w:t>;</w:t>
      </w:r>
    </w:p>
    <w:p>
      <w:pPr>
        <w:spacing w:after="0" w:line="97" w:lineRule="exact"/>
        <w:rPr>
          <w:rFonts w:ascii="Times New Roman" w:cs="Times New Roman" w:eastAsia="Times New Roman" w:hAnsi="Times New Roman"/>
          <w:sz w:val="14"/>
          <w:szCs w:val="14"/>
          <w:color w:val="auto"/>
        </w:rPr>
      </w:pPr>
    </w:p>
    <w:p>
      <w:pPr>
        <w:ind w:left="1020" w:right="379" w:hanging="322"/>
        <w:spacing w:after="0" w:line="273"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for the year ended December 31, 2025 from our Definitive Proxy Statement on Schedule 14A, filed with the SEC on </w:t>
      </w:r>
      <w:hyperlink r:id="rId61">
        <w:r>
          <w:rPr>
            <w:rFonts w:ascii="Times New Roman" w:cs="Times New Roman" w:eastAsia="Times New Roman" w:hAnsi="Times New Roman"/>
            <w:sz w:val="14"/>
            <w:szCs w:val="14"/>
            <w:u w:val="single" w:color="auto"/>
            <w:color w:val="0000EE"/>
          </w:rPr>
          <w:t>April 23, 2026</w:t>
        </w:r>
      </w:hyperlink>
      <w:r>
        <w:rPr>
          <w:rFonts w:ascii="Times New Roman" w:cs="Times New Roman" w:eastAsia="Times New Roman" w:hAnsi="Times New Roman"/>
          <w:sz w:val="14"/>
          <w:szCs w:val="14"/>
          <w:color w:val="auto"/>
        </w:rPr>
        <w:t>;</w:t>
      </w:r>
    </w:p>
    <w:p>
      <w:pPr>
        <w:spacing w:after="0" w:line="57" w:lineRule="exact"/>
        <w:rPr>
          <w:rFonts w:ascii="Times New Roman" w:cs="Times New Roman" w:eastAsia="Times New Roman" w:hAnsi="Times New Roman"/>
          <w:sz w:val="14"/>
          <w:szCs w:val="14"/>
          <w:color w:val="auto"/>
        </w:rPr>
      </w:pPr>
    </w:p>
    <w:p>
      <w:pPr>
        <w:ind w:left="1020" w:right="299" w:hanging="322"/>
        <w:spacing w:after="0" w:line="273"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quarterly periods ended March 31, 2026, June 30, 2026 and September 30, 2026, filed with the SEC on </w:t>
      </w:r>
      <w:hyperlink r:id="rId62">
        <w:r>
          <w:rPr>
            <w:rFonts w:ascii="Times New Roman" w:cs="Times New Roman" w:eastAsia="Times New Roman" w:hAnsi="Times New Roman"/>
            <w:sz w:val="14"/>
            <w:szCs w:val="14"/>
            <w:u w:val="single" w:color="auto"/>
            <w:color w:val="0000EE"/>
          </w:rPr>
          <w:t>April 28, 2026</w:t>
        </w:r>
      </w:hyperlink>
      <w:r>
        <w:rPr>
          <w:rFonts w:ascii="Times New Roman" w:cs="Times New Roman" w:eastAsia="Times New Roman" w:hAnsi="Times New Roman"/>
          <w:sz w:val="14"/>
          <w:szCs w:val="14"/>
          <w:color w:val="auto"/>
        </w:rPr>
        <w:t xml:space="preserve">, </w:t>
      </w:r>
      <w:hyperlink r:id="rId63">
        <w:r>
          <w:rPr>
            <w:rFonts w:ascii="Times New Roman" w:cs="Times New Roman" w:eastAsia="Times New Roman" w:hAnsi="Times New Roman"/>
            <w:sz w:val="14"/>
            <w:szCs w:val="14"/>
            <w:u w:val="single" w:color="auto"/>
            <w:color w:val="0000EE"/>
          </w:rPr>
          <w:t>August 3,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64">
        <w:r>
          <w:rPr>
            <w:rFonts w:ascii="Times New Roman" w:cs="Times New Roman" w:eastAsia="Times New Roman" w:hAnsi="Times New Roman"/>
            <w:sz w:val="14"/>
            <w:szCs w:val="14"/>
            <w:u w:val="single" w:color="auto"/>
            <w:color w:val="0000EE"/>
          </w:rPr>
          <w:t>November 4, 2026</w:t>
        </w:r>
      </w:hyperlink>
      <w:r>
        <w:rPr>
          <w:rFonts w:ascii="Times New Roman" w:cs="Times New Roman" w:eastAsia="Times New Roman" w:hAnsi="Times New Roman"/>
          <w:sz w:val="14"/>
          <w:szCs w:val="14"/>
          <w:color w:val="auto"/>
        </w:rPr>
        <w:t>, respectively;</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65">
        <w:r>
          <w:rPr>
            <w:rFonts w:ascii="Times New Roman" w:cs="Times New Roman" w:eastAsia="Times New Roman" w:hAnsi="Times New Roman"/>
            <w:sz w:val="14"/>
            <w:szCs w:val="14"/>
            <w:u w:val="single" w:color="auto"/>
            <w:color w:val="0000EE"/>
          </w:rPr>
          <w:t>January 30, 2026</w:t>
        </w:r>
      </w:hyperlink>
      <w:r>
        <w:rPr>
          <w:rFonts w:ascii="Times New Roman" w:cs="Times New Roman" w:eastAsia="Times New Roman" w:hAnsi="Times New Roman"/>
          <w:sz w:val="14"/>
          <w:szCs w:val="14"/>
          <w:color w:val="auto"/>
        </w:rPr>
        <w:t xml:space="preserve">, </w:t>
      </w:r>
      <w:hyperlink r:id="rId66">
        <w:r>
          <w:rPr>
            <w:rFonts w:ascii="Times New Roman" w:cs="Times New Roman" w:eastAsia="Times New Roman" w:hAnsi="Times New Roman"/>
            <w:sz w:val="14"/>
            <w:szCs w:val="14"/>
            <w:u w:val="single" w:color="auto"/>
            <w:color w:val="0000EE"/>
          </w:rPr>
          <w:t>April 1, 2026</w:t>
        </w:r>
      </w:hyperlink>
      <w:r>
        <w:rPr>
          <w:rFonts w:ascii="Times New Roman" w:cs="Times New Roman" w:eastAsia="Times New Roman" w:hAnsi="Times New Roman"/>
          <w:sz w:val="14"/>
          <w:szCs w:val="14"/>
          <w:color w:val="auto"/>
        </w:rPr>
        <w:t xml:space="preserve">, </w:t>
      </w:r>
      <w:hyperlink r:id="rId67">
        <w:r>
          <w:rPr>
            <w:rFonts w:ascii="Times New Roman" w:cs="Times New Roman" w:eastAsia="Times New Roman" w:hAnsi="Times New Roman"/>
            <w:sz w:val="14"/>
            <w:szCs w:val="14"/>
            <w:u w:val="single" w:color="auto"/>
            <w:color w:val="0000EE"/>
          </w:rPr>
          <w:t>May 18,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68">
        <w:r>
          <w:rPr>
            <w:rFonts w:ascii="Times New Roman" w:cs="Times New Roman" w:eastAsia="Times New Roman" w:hAnsi="Times New Roman"/>
            <w:sz w:val="14"/>
            <w:szCs w:val="14"/>
            <w:u w:val="single" w:color="auto"/>
            <w:color w:val="0000EE"/>
          </w:rPr>
          <w:t>June 11, 2026</w:t>
        </w:r>
      </w:hyperlink>
      <w:r>
        <w:rPr>
          <w:rFonts w:ascii="Times New Roman" w:cs="Times New Roman" w:eastAsia="Times New Roman" w:hAnsi="Times New Roman"/>
          <w:sz w:val="14"/>
          <w:szCs w:val="14"/>
          <w:color w:val="auto"/>
        </w:rPr>
        <w:t>; and</w:t>
      </w:r>
    </w:p>
    <w:p>
      <w:pPr>
        <w:spacing w:after="0" w:line="97" w:lineRule="exact"/>
        <w:rPr>
          <w:rFonts w:ascii="Times New Roman" w:cs="Times New Roman" w:eastAsia="Times New Roman" w:hAnsi="Times New Roman"/>
          <w:sz w:val="14"/>
          <w:szCs w:val="14"/>
          <w:color w:val="auto"/>
        </w:rPr>
      </w:pPr>
    </w:p>
    <w:p>
      <w:pPr>
        <w:ind w:left="1020" w:right="319" w:hanging="322"/>
        <w:spacing w:after="0" w:line="259" w:lineRule="auto"/>
        <w:tabs>
          <w:tab w:leader="none" w:pos="1020" w:val="left"/>
        </w:tabs>
        <w:numPr>
          <w:ilvl w:val="0"/>
          <w:numId w:val="30"/>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description of our common stock, which is registered under Section 12 of the Exchange Act, in our registration statement on Form 8-A, filed with the SEC on </w:t>
      </w:r>
      <w:hyperlink r:id="rId69">
        <w:r>
          <w:rPr>
            <w:rFonts w:ascii="Times New Roman" w:cs="Times New Roman" w:eastAsia="Times New Roman" w:hAnsi="Times New Roman"/>
            <w:sz w:val="14"/>
            <w:szCs w:val="14"/>
            <w:u w:val="single" w:color="auto"/>
            <w:color w:val="0000EE"/>
          </w:rPr>
          <w:t>March 23, 2021</w:t>
        </w:r>
      </w:hyperlink>
      <w:r>
        <w:rPr>
          <w:rFonts w:ascii="Times New Roman" w:cs="Times New Roman" w:eastAsia="Times New Roman" w:hAnsi="Times New Roman"/>
          <w:sz w:val="14"/>
          <w:szCs w:val="14"/>
          <w:color w:val="auto"/>
        </w:rPr>
        <w:t xml:space="preserve">, including all amendments or reports filed for the purpose of updating such description, including </w:t>
      </w:r>
      <w:hyperlink r:id="rId70">
        <w:r>
          <w:rPr>
            <w:rFonts w:ascii="Times New Roman" w:cs="Times New Roman" w:eastAsia="Times New Roman" w:hAnsi="Times New Roman"/>
            <w:sz w:val="14"/>
            <w:szCs w:val="14"/>
            <w:u w:val="single" w:color="auto"/>
            <w:color w:val="0000EE"/>
          </w:rPr>
          <w:t>Exhibit 4.3</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to</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the Annual Report on Form 10-K for the year ended December 31, 2023, filed with the SEC on March 19, 2024.</w:t>
      </w:r>
    </w:p>
    <w:p>
      <w:pPr>
        <w:spacing w:after="0" w:line="141" w:lineRule="exact"/>
        <w:rPr>
          <w:rFonts w:ascii="Times New Roman" w:cs="Times New Roman" w:eastAsia="Times New Roman" w:hAnsi="Times New Roman"/>
          <w:sz w:val="14"/>
          <w:szCs w:val="14"/>
          <w:color w:val="auto"/>
        </w:rPr>
      </w:pPr>
    </w:p>
    <w:p>
      <w:pPr>
        <w:ind w:left="280" w:right="379" w:firstLine="337"/>
        <w:spacing w:after="0" w:line="255"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6005 Hidden Valley Road, Suite 110, Carlsbad, California 92011, or by telephoning us at (858) 293-4900.</w:t>
      </w:r>
    </w:p>
    <w:p>
      <w:pPr>
        <w:spacing w:after="0" w:line="143" w:lineRule="exact"/>
        <w:rPr>
          <w:rFonts w:ascii="Times New Roman" w:cs="Times New Roman" w:eastAsia="Times New Roman" w:hAnsi="Times New Roman"/>
          <w:sz w:val="14"/>
          <w:szCs w:val="14"/>
          <w:color w:val="auto"/>
        </w:rPr>
      </w:pPr>
    </w:p>
    <w:p>
      <w:pPr>
        <w:jc w:val="both"/>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8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6"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PART 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91" w:lineRule="exact"/>
        <w:rPr>
          <w:sz w:val="20"/>
          <w:szCs w:val="20"/>
          <w:color w:val="auto"/>
        </w:rPr>
      </w:pPr>
    </w:p>
    <w:p>
      <w:pPr>
        <w:ind w:left="280" w:right="399" w:firstLine="337"/>
        <w:spacing w:after="0" w:line="273" w:lineRule="auto"/>
        <w:rPr>
          <w:sz w:val="20"/>
          <w:szCs w:val="20"/>
          <w:color w:val="auto"/>
        </w:rPr>
      </w:pPr>
      <w:r>
        <w:rPr>
          <w:rFonts w:ascii="Times New Roman" w:cs="Times New Roman" w:eastAsia="Times New Roman" w:hAnsi="Times New Roman"/>
          <w:sz w:val="14"/>
          <w:szCs w:val="14"/>
          <w:color w:val="auto"/>
        </w:rPr>
        <w:t>The following table sets forth the estimated costs and expenses, other than underwriting discounts and commissions, payable by us in connection with the offering of the securities being registered.</w:t>
      </w:r>
    </w:p>
    <w:p>
      <w:pPr>
        <w:spacing w:after="0" w:line="164"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$ 26,100</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Transfer agent fees and expenses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Trustee fees and expenses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Printing and miscellaneous expenses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  These fees are calculated based on the securities offered and the number of issuances and accordingly cannot be estimated at this time.</w:t>
      </w:r>
    </w:p>
    <w:p>
      <w:pPr>
        <w:spacing w:after="0" w:line="2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Item 15. Indemnification of Officers and Directors.</w:t>
      </w:r>
    </w:p>
    <w:p>
      <w:pPr>
        <w:spacing w:after="0" w:line="91" w:lineRule="exact"/>
        <w:rPr>
          <w:sz w:val="20"/>
          <w:szCs w:val="20"/>
          <w:color w:val="auto"/>
        </w:rPr>
      </w:pPr>
    </w:p>
    <w:p>
      <w:pPr>
        <w:ind w:left="280" w:right="399" w:firstLine="337"/>
        <w:spacing w:after="0" w:line="251" w:lineRule="auto"/>
        <w:rPr>
          <w:sz w:val="20"/>
          <w:szCs w:val="20"/>
          <w:color w:val="auto"/>
        </w:rPr>
      </w:pPr>
      <w:r>
        <w:rPr>
          <w:rFonts w:ascii="Times New Roman" w:cs="Times New Roman" w:eastAsia="Times New Roman" w:hAnsi="Times New Roman"/>
          <w:sz w:val="14"/>
          <w:szCs w:val="14"/>
          <w:color w:val="auto"/>
        </w:rPr>
        <w:t>Under Section 145 of the Delaware General Corporation Law (“DGCL”), we have broad powers to indemnify our directors and officers against liabilities they may incur in such capacities, including liabilities under the Securities Act of 1933, as amended (the Securities Act). Section 145 of the DGCL generally provides that a Delaware corporation has the power to indemnify its present and former directors, officers, employees and agents against expenses incurred by them in connection with any suit to which they are or are threatened to be made, a party by reason of their serving in such positions so long as they acted in good faith and in a manner they reasonably believed to be in or not opposed to, the best interests of the corporation and, with respect to any criminal action, they had no reasonable cause to believe their conduct was unlawful.</w:t>
      </w:r>
    </w:p>
    <w:p>
      <w:pPr>
        <w:spacing w:after="0" w:line="148" w:lineRule="exact"/>
        <w:rPr>
          <w:sz w:val="20"/>
          <w:szCs w:val="20"/>
          <w:color w:val="auto"/>
        </w:rPr>
      </w:pPr>
    </w:p>
    <w:p>
      <w:pPr>
        <w:ind w:left="280" w:right="319" w:firstLine="337"/>
        <w:spacing w:after="0" w:line="248"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include provisions that (i) eliminate the personal liability of our directors for monetary damages resulting from breaches of their fiduciary duty to the fullest extent permitted under applicable law, (ii) require us to indemnify our directors and executive officers to the fullest extent permitted by the DGCL or other applicable law and (iii) provide us with the power, in our discretion, to indemnify our other officers, employees and other agents as set forth in the DGCL or other applicable law. We believe that these provisions of our amended and restated certificate of incorporation and amended and restated bylaws are necessary to attract and retain qualified persons as directors and officers. These provisions do not eliminate our directors’ or officers’ duty of care, and, in appropriate circumstances, equitable remedies such as injunctive or other forms of non-monetary relief will remain available under the DGCL. In addition, each director will continue to be subject to liability pursuant to Section 174 of the DGCL, for breach of such director’s duty of loyalty to us, for acts or omissions not in good faith or involving intentional misconduct, for knowing violations of law, for acts or omissions that such director believes to be contrary to our best interests or the best interests of our stockholders, for any transaction from which such director derived an improper personal benefit, for acts or omissions involving a reckless disregard for such director’s duty to us or to our stockholders when such director was aware or should have been aware of a risk of serious injury to us or to our stockholders, for acts or omission that constitute an unexcused pattern of inattention that amounts to an abdication of such director’s duty to us or to our stockholders, for improper transactions between such director and us and for improper loans to directors and officers. These provisions also do not affect a director’s responsibilities under any other law, such as the federal securities law or state or federal environmental laws.</w:t>
      </w:r>
    </w:p>
    <w:p>
      <w:pPr>
        <w:spacing w:after="0" w:line="152" w:lineRule="exact"/>
        <w:rPr>
          <w:sz w:val="20"/>
          <w:szCs w:val="20"/>
          <w:color w:val="auto"/>
        </w:rPr>
      </w:pPr>
    </w:p>
    <w:p>
      <w:pPr>
        <w:ind w:left="280" w:right="299" w:firstLine="337"/>
        <w:spacing w:after="0" w:line="259" w:lineRule="auto"/>
        <w:rPr>
          <w:sz w:val="20"/>
          <w:szCs w:val="20"/>
          <w:color w:val="auto"/>
        </w:rPr>
      </w:pPr>
      <w:r>
        <w:rPr>
          <w:rFonts w:ascii="Times New Roman" w:cs="Times New Roman" w:eastAsia="Times New Roman" w:hAnsi="Times New Roman"/>
          <w:sz w:val="14"/>
          <w:szCs w:val="14"/>
          <w:color w:val="auto"/>
        </w:rPr>
        <w:t>As permitted by Delaware law, we have entered into indemnification agreements with each of our current directors and officers pursuant to the foregoing provisions. We have an insurance policy covering our officers and directors with respect to certain liabilities, including liabilities arising under the Securities Act or otherwise.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9019"/>
          </w:cols>
          <w:pgMar w:left="1440" w:top="236" w:right="1440" w:bottom="1440" w:gutter="0" w:footer="0" w:header="0"/>
        </w:sectPr>
      </w:pPr>
    </w:p>
    <w:bookmarkStart w:id="39" w:name="page40"/>
    <w:bookmarkEnd w:id="39"/>
    <w:p>
      <w:pPr>
        <w:jc w:val="both"/>
        <w:ind w:left="280" w:right="519" w:firstLine="337"/>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underwriting agreement that we may enter into, filed as Exhibit 1.1 to this Registration Statement, will provide for indemnification by any underwriters of the registrant, our directors, our officers who sign this Registration Statement and our controlling persons, if any, for some liabilities, including liabilities arising under the Securities Act.</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175"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8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160" w:type="dxa"/>
            <w:vAlign w:val="bottom"/>
            <w:gridSpan w:val="8"/>
          </w:tcPr>
          <w:p>
            <w:pPr>
              <w:ind w:left="480"/>
              <w:spacing w:after="0"/>
              <w:rPr>
                <w:sz w:val="20"/>
                <w:szCs w:val="20"/>
                <w:color w:val="auto"/>
              </w:rPr>
            </w:pPr>
            <w:r>
              <w:rPr>
                <w:rFonts w:ascii="Times New Roman" w:cs="Times New Roman" w:eastAsia="Times New Roman" w:hAnsi="Times New Roman"/>
                <w:sz w:val="11"/>
                <w:szCs w:val="11"/>
                <w:b w:val="1"/>
                <w:bCs w:val="1"/>
                <w:color w:val="auto"/>
              </w:rPr>
              <w:t>Description of Document</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58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756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w w:val="98"/>
              </w:rPr>
            </w:pPr>
            <w:hyperlink r:id="rId73">
              <w:r>
                <w:rPr>
                  <w:rFonts w:ascii="Times New Roman" w:cs="Times New Roman" w:eastAsia="Times New Roman" w:hAnsi="Times New Roman"/>
                  <w:sz w:val="14"/>
                  <w:szCs w:val="14"/>
                  <w:color w:val="0000EE"/>
                  <w:w w:val="98"/>
                </w:rPr>
                <w:t>Amended and Restated Certificate of Incorporation of the Registrant (incorporated by reference to Exhibit 3.1 to the Registrant’s Current</w:t>
              </w:r>
            </w:hyperlink>
          </w:p>
        </w:tc>
      </w:tr>
      <w:tr>
        <w:trPr>
          <w:trHeight w:val="145"/>
        </w:trPr>
        <w:tc>
          <w:tcPr>
            <w:tcW w:w="860" w:type="dxa"/>
            <w:vAlign w:val="bottom"/>
          </w:tcPr>
          <w:p>
            <w:pPr>
              <w:spacing w:after="0"/>
              <w:rPr>
                <w:sz w:val="12"/>
                <w:szCs w:val="12"/>
                <w:color w:val="auto"/>
              </w:rPr>
            </w:pPr>
          </w:p>
        </w:tc>
        <w:tc>
          <w:tcPr>
            <w:tcW w:w="5880" w:type="dxa"/>
            <w:vAlign w:val="bottom"/>
            <w:gridSpan w:val="10"/>
          </w:tcPr>
          <w:p>
            <w:pPr>
              <w:spacing w:after="0" w:line="145"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Report on Form 8-K (File No. 001-40288), filed with the SEC on March 30, 2021)</w:t>
              </w:r>
              <w:r>
                <w:rPr>
                  <w:rFonts w:ascii="Times New Roman" w:cs="Times New Roman" w:eastAsia="Times New Roman" w:hAnsi="Times New Roman"/>
                  <w:sz w:val="14"/>
                  <w:szCs w:val="14"/>
                  <w:color w:val="000000"/>
                </w:rPr>
                <w:t>.</w:t>
              </w:r>
            </w:hyperlink>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7560" w:type="dxa"/>
            <w:vAlign w:val="bottom"/>
            <w:gridSpan w:val="17"/>
          </w:tcPr>
          <w:p>
            <w:pPr>
              <w:spacing w:after="0"/>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Amended and Restated Bylaws of the Registrant (incorporated by reference to Exhibit 3.2 to the Registrant’s Current Report on Form</w:t>
              </w:r>
            </w:hyperlink>
          </w:p>
        </w:tc>
      </w:tr>
      <w:tr>
        <w:trPr>
          <w:trHeight w:val="145"/>
        </w:trPr>
        <w:tc>
          <w:tcPr>
            <w:tcW w:w="860" w:type="dxa"/>
            <w:vAlign w:val="bottom"/>
          </w:tcPr>
          <w:p>
            <w:pPr>
              <w:spacing w:after="0"/>
              <w:rPr>
                <w:sz w:val="12"/>
                <w:szCs w:val="12"/>
                <w:color w:val="auto"/>
              </w:rPr>
            </w:pPr>
          </w:p>
        </w:tc>
        <w:tc>
          <w:tcPr>
            <w:tcW w:w="5880" w:type="dxa"/>
            <w:vAlign w:val="bottom"/>
            <w:tcBorders>
              <w:top w:val="single" w:sz="8" w:color="0000EE"/>
            </w:tcBorders>
            <w:gridSpan w:val="10"/>
          </w:tcPr>
          <w:p>
            <w:pPr>
              <w:spacing w:after="0" w:line="145"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8-K (File No. 001-40288), filed with the SEC on March 30, 2021)</w:t>
              </w:r>
              <w:r>
                <w:rPr>
                  <w:rFonts w:ascii="Times New Roman" w:cs="Times New Roman" w:eastAsia="Times New Roman" w:hAnsi="Times New Roman"/>
                  <w:sz w:val="14"/>
                  <w:szCs w:val="14"/>
                  <w:color w:val="000000"/>
                </w:rPr>
                <w:t>.</w:t>
              </w:r>
            </w:hyperlink>
          </w:p>
        </w:tc>
        <w:tc>
          <w:tcPr>
            <w:tcW w:w="160" w:type="dxa"/>
            <w:vAlign w:val="bottom"/>
            <w:tcBorders>
              <w:top w:val="single" w:sz="8" w:color="0000EE"/>
            </w:tcBorders>
          </w:tcPr>
          <w:p>
            <w:pPr>
              <w:spacing w:after="0"/>
              <w:rPr>
                <w:sz w:val="12"/>
                <w:szCs w:val="12"/>
                <w:color w:val="auto"/>
              </w:rPr>
            </w:pPr>
          </w:p>
        </w:tc>
        <w:tc>
          <w:tcPr>
            <w:tcW w:w="98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7560" w:type="dxa"/>
            <w:vAlign w:val="bottom"/>
            <w:gridSpan w:val="17"/>
          </w:tcPr>
          <w:p>
            <w:pPr>
              <w:spacing w:after="0"/>
              <w:rPr>
                <w:rFonts w:ascii="Times New Roman" w:cs="Times New Roman" w:eastAsia="Times New Roman" w:hAnsi="Times New Roman"/>
                <w:sz w:val="14"/>
                <w:szCs w:val="14"/>
                <w:color w:val="0000EE"/>
                <w:w w:val="99"/>
              </w:rPr>
            </w:pPr>
            <w:hyperlink r:id="rId75">
              <w:r>
                <w:rPr>
                  <w:rFonts w:ascii="Times New Roman" w:cs="Times New Roman" w:eastAsia="Times New Roman" w:hAnsi="Times New Roman"/>
                  <w:sz w:val="14"/>
                  <w:szCs w:val="14"/>
                  <w:color w:val="0000EE"/>
                  <w:w w:val="99"/>
                </w:rPr>
                <w:t>Form of Common Stock Certificate of the registrant (incorporated by reference to Exhibit 4.1 to the Registrant’s Registration Statement</w:t>
              </w:r>
            </w:hyperlink>
          </w:p>
        </w:tc>
      </w:tr>
      <w:tr>
        <w:trPr>
          <w:trHeight w:val="145"/>
        </w:trPr>
        <w:tc>
          <w:tcPr>
            <w:tcW w:w="860" w:type="dxa"/>
            <w:vAlign w:val="bottom"/>
          </w:tcPr>
          <w:p>
            <w:pPr>
              <w:spacing w:after="0"/>
              <w:rPr>
                <w:sz w:val="12"/>
                <w:szCs w:val="12"/>
                <w:color w:val="auto"/>
              </w:rPr>
            </w:pPr>
          </w:p>
        </w:tc>
        <w:tc>
          <w:tcPr>
            <w:tcW w:w="5880" w:type="dxa"/>
            <w:vAlign w:val="bottom"/>
            <w:tcBorders>
              <w:top w:val="single" w:sz="8" w:color="0000EE"/>
            </w:tcBorders>
            <w:gridSpan w:val="10"/>
          </w:tcPr>
          <w:p>
            <w:pPr>
              <w:spacing w:after="0" w:line="145"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on Form S-1, as amended (File No. 333-253954), filed with the SEC on March 22, 2021)</w:t>
              </w:r>
              <w:r>
                <w:rPr>
                  <w:rFonts w:ascii="Times New Roman" w:cs="Times New Roman" w:eastAsia="Times New Roman" w:hAnsi="Times New Roman"/>
                  <w:sz w:val="14"/>
                  <w:szCs w:val="14"/>
                  <w:color w:val="000000"/>
                </w:rPr>
                <w:t>.</w:t>
              </w:r>
            </w:hyperlink>
          </w:p>
        </w:tc>
        <w:tc>
          <w:tcPr>
            <w:tcW w:w="160" w:type="dxa"/>
            <w:vAlign w:val="bottom"/>
            <w:tcBorders>
              <w:top w:val="single" w:sz="8" w:color="0000EE"/>
            </w:tcBorders>
          </w:tcPr>
          <w:p>
            <w:pPr>
              <w:spacing w:after="0"/>
              <w:rPr>
                <w:sz w:val="12"/>
                <w:szCs w:val="12"/>
                <w:color w:val="auto"/>
              </w:rPr>
            </w:pPr>
          </w:p>
        </w:tc>
        <w:tc>
          <w:tcPr>
            <w:tcW w:w="98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58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Form of Specimen Preferred Stock Certificate and Certificate of Designation of Preferred Stock.</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702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8"/>
              </w:rPr>
            </w:pPr>
            <w:hyperlink r:id="rId76">
              <w:r>
                <w:rPr>
                  <w:rFonts w:ascii="Times New Roman" w:cs="Times New Roman" w:eastAsia="Times New Roman" w:hAnsi="Times New Roman"/>
                  <w:sz w:val="14"/>
                  <w:szCs w:val="14"/>
                  <w:color w:val="0000EE"/>
                  <w:w w:val="98"/>
                </w:rPr>
                <w:t>Form of Indenture, between the registrant and one or more trustees to be named (incorporated by reference to Exhibit 4.6 to the</w:t>
              </w:r>
            </w:hyperlink>
          </w:p>
        </w:tc>
        <w:tc>
          <w:tcPr>
            <w:tcW w:w="540" w:type="dxa"/>
            <w:vAlign w:val="bottom"/>
            <w:gridSpan w:val="5"/>
          </w:tcPr>
          <w:p>
            <w:pPr>
              <w:spacing w:after="0"/>
              <w:rPr>
                <w:sz w:val="18"/>
                <w:szCs w:val="18"/>
                <w:color w:val="auto"/>
              </w:rPr>
            </w:pPr>
          </w:p>
        </w:tc>
      </w:tr>
      <w:tr>
        <w:trPr>
          <w:trHeight w:val="145"/>
        </w:trPr>
        <w:tc>
          <w:tcPr>
            <w:tcW w:w="860" w:type="dxa"/>
            <w:vAlign w:val="bottom"/>
          </w:tcPr>
          <w:p>
            <w:pPr>
              <w:spacing w:after="0"/>
              <w:rPr>
                <w:sz w:val="12"/>
                <w:szCs w:val="12"/>
                <w:color w:val="auto"/>
              </w:rPr>
            </w:pPr>
          </w:p>
        </w:tc>
        <w:tc>
          <w:tcPr>
            <w:tcW w:w="7560" w:type="dxa"/>
            <w:vAlign w:val="bottom"/>
            <w:gridSpan w:val="17"/>
          </w:tcPr>
          <w:p>
            <w:pPr>
              <w:spacing w:after="0" w:line="145"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Registrant’s Registration Statement on Form S-3 (File No. 333-287043), filed with the SEC on May 7, 2025).</w:t>
              </w:r>
            </w:hyperlink>
          </w:p>
        </w:tc>
      </w:tr>
      <w:tr>
        <w:trPr>
          <w:trHeight w:val="2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4.6*</w:t>
            </w:r>
          </w:p>
        </w:tc>
        <w:tc>
          <w:tcPr>
            <w:tcW w:w="58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auto"/>
              </w:rPr>
              <w:t>Form of Debt Securities.</w:t>
            </w:r>
          </w:p>
        </w:tc>
        <w:tc>
          <w:tcPr>
            <w:tcW w:w="160" w:type="dxa"/>
            <w:vAlign w:val="bottom"/>
            <w:tcBorders>
              <w:top w:val="single" w:sz="8" w:color="0000EE"/>
            </w:tcBorders>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7"/>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4.7</w:t>
            </w:r>
          </w:p>
        </w:tc>
        <w:tc>
          <w:tcPr>
            <w:tcW w:w="5880" w:type="dxa"/>
            <w:vAlign w:val="bottom"/>
            <w:gridSpan w:val="10"/>
          </w:tcPr>
          <w:p>
            <w:pPr>
              <w:spacing w:after="0"/>
              <w:rPr>
                <w:rFonts w:ascii="Times New Roman" w:cs="Times New Roman" w:eastAsia="Times New Roman" w:hAnsi="Times New Roman"/>
                <w:sz w:val="14"/>
                <w:szCs w:val="14"/>
                <w:color w:val="0000EE"/>
                <w:w w:val="97"/>
              </w:rPr>
            </w:pPr>
            <w:hyperlink r:id="rId77">
              <w:r>
                <w:rPr>
                  <w:rFonts w:ascii="Times New Roman" w:cs="Times New Roman" w:eastAsia="Times New Roman" w:hAnsi="Times New Roman"/>
                  <w:sz w:val="14"/>
                  <w:szCs w:val="14"/>
                  <w:color w:val="0000EE"/>
                  <w:w w:val="97"/>
                </w:rPr>
                <w:t>Form of Common Stock Warrant Agreement and Warrant Certificate (incorporated by reference to Exhibit</w:t>
              </w:r>
            </w:hyperlink>
          </w:p>
        </w:tc>
        <w:tc>
          <w:tcPr>
            <w:tcW w:w="1680" w:type="dxa"/>
            <w:vAlign w:val="bottom"/>
            <w:gridSpan w:val="7"/>
          </w:tcPr>
          <w:p>
            <w:pPr>
              <w:ind w:left="40"/>
              <w:spacing w:after="0"/>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4.8 to the Registrant’s</w:t>
              </w:r>
            </w:hyperlink>
          </w:p>
        </w:tc>
      </w:tr>
      <w:tr>
        <w:trPr>
          <w:trHeight w:val="145"/>
        </w:trPr>
        <w:tc>
          <w:tcPr>
            <w:tcW w:w="860" w:type="dxa"/>
            <w:vAlign w:val="bottom"/>
          </w:tcPr>
          <w:p>
            <w:pPr>
              <w:spacing w:after="0"/>
              <w:rPr>
                <w:sz w:val="12"/>
                <w:szCs w:val="12"/>
                <w:color w:val="auto"/>
              </w:rPr>
            </w:pPr>
          </w:p>
        </w:tc>
        <w:tc>
          <w:tcPr>
            <w:tcW w:w="5360" w:type="dxa"/>
            <w:vAlign w:val="bottom"/>
            <w:tcBorders>
              <w:top w:val="single" w:sz="8" w:color="0000EE"/>
              <w:bottom w:val="single" w:sz="8" w:color="0000EE"/>
            </w:tcBorders>
            <w:gridSpan w:val="9"/>
          </w:tcPr>
          <w:p>
            <w:pPr>
              <w:spacing w:after="0" w:line="145" w:lineRule="exact"/>
              <w:rPr>
                <w:rFonts w:ascii="Times New Roman" w:cs="Times New Roman" w:eastAsia="Times New Roman" w:hAnsi="Times New Roman"/>
                <w:sz w:val="14"/>
                <w:szCs w:val="14"/>
                <w:color w:val="0000EE"/>
                <w:w w:val="98"/>
              </w:rPr>
            </w:pPr>
            <w:hyperlink r:id="rId77">
              <w:r>
                <w:rPr>
                  <w:rFonts w:ascii="Times New Roman" w:cs="Times New Roman" w:eastAsia="Times New Roman" w:hAnsi="Times New Roman"/>
                  <w:sz w:val="14"/>
                  <w:szCs w:val="14"/>
                  <w:color w:val="0000EE"/>
                  <w:w w:val="98"/>
                </w:rPr>
                <w:t>Registration Statement on Form S-3 (File No. 333-287043), filed with the SEC on May 7, 2025).</w:t>
              </w:r>
            </w:hyperlink>
          </w:p>
        </w:tc>
        <w:tc>
          <w:tcPr>
            <w:tcW w:w="52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98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8"/>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4.8</w:t>
            </w:r>
          </w:p>
        </w:tc>
        <w:tc>
          <w:tcPr>
            <w:tcW w:w="5880" w:type="dxa"/>
            <w:vAlign w:val="bottom"/>
            <w:gridSpan w:val="10"/>
          </w:tcPr>
          <w:p>
            <w:pPr>
              <w:spacing w:after="0"/>
              <w:rPr>
                <w:rFonts w:ascii="Times New Roman" w:cs="Times New Roman" w:eastAsia="Times New Roman" w:hAnsi="Times New Roman"/>
                <w:sz w:val="14"/>
                <w:szCs w:val="14"/>
                <w:color w:val="0000EE"/>
                <w:w w:val="97"/>
              </w:rPr>
            </w:pPr>
            <w:hyperlink r:id="rId78">
              <w:r>
                <w:rPr>
                  <w:rFonts w:ascii="Times New Roman" w:cs="Times New Roman" w:eastAsia="Times New Roman" w:hAnsi="Times New Roman"/>
                  <w:sz w:val="14"/>
                  <w:szCs w:val="14"/>
                  <w:color w:val="0000EE"/>
                  <w:w w:val="97"/>
                </w:rPr>
                <w:t>Form of Preferred Stock Warrant Agreement and Warrant Certificate (incorporated by reference to Exhibit</w:t>
              </w:r>
            </w:hyperlink>
          </w:p>
        </w:tc>
        <w:tc>
          <w:tcPr>
            <w:tcW w:w="1680" w:type="dxa"/>
            <w:vAlign w:val="bottom"/>
            <w:gridSpan w:val="7"/>
          </w:tcPr>
          <w:p>
            <w:pPr>
              <w:ind w:left="40"/>
              <w:spacing w:after="0"/>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4.9 to the Registrant’s</w:t>
              </w:r>
            </w:hyperlink>
          </w:p>
        </w:tc>
      </w:tr>
      <w:tr>
        <w:trPr>
          <w:trHeight w:val="145"/>
        </w:trPr>
        <w:tc>
          <w:tcPr>
            <w:tcW w:w="860" w:type="dxa"/>
            <w:vAlign w:val="bottom"/>
          </w:tcPr>
          <w:p>
            <w:pPr>
              <w:spacing w:after="0"/>
              <w:rPr>
                <w:sz w:val="12"/>
                <w:szCs w:val="12"/>
                <w:color w:val="auto"/>
              </w:rPr>
            </w:pPr>
          </w:p>
        </w:tc>
        <w:tc>
          <w:tcPr>
            <w:tcW w:w="5360" w:type="dxa"/>
            <w:vAlign w:val="bottom"/>
            <w:tcBorders>
              <w:top w:val="single" w:sz="8" w:color="0000EE"/>
              <w:bottom w:val="single" w:sz="8" w:color="0000EE"/>
            </w:tcBorders>
            <w:gridSpan w:val="9"/>
          </w:tcPr>
          <w:p>
            <w:pPr>
              <w:spacing w:after="0" w:line="145" w:lineRule="exact"/>
              <w:rPr>
                <w:rFonts w:ascii="Times New Roman" w:cs="Times New Roman" w:eastAsia="Times New Roman" w:hAnsi="Times New Roman"/>
                <w:sz w:val="14"/>
                <w:szCs w:val="14"/>
                <w:color w:val="0000EE"/>
                <w:w w:val="98"/>
              </w:rPr>
            </w:pPr>
            <w:hyperlink r:id="rId78">
              <w:r>
                <w:rPr>
                  <w:rFonts w:ascii="Times New Roman" w:cs="Times New Roman" w:eastAsia="Times New Roman" w:hAnsi="Times New Roman"/>
                  <w:sz w:val="14"/>
                  <w:szCs w:val="14"/>
                  <w:color w:val="0000EE"/>
                  <w:w w:val="98"/>
                </w:rPr>
                <w:t>Registration Statement on Form S-3 (File No. 333-287043), filed with the SEC on May 7, 2025).</w:t>
              </w:r>
            </w:hyperlink>
          </w:p>
        </w:tc>
        <w:tc>
          <w:tcPr>
            <w:tcW w:w="52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98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8"/>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4.9</w:t>
            </w:r>
          </w:p>
        </w:tc>
        <w:tc>
          <w:tcPr>
            <w:tcW w:w="5880" w:type="dxa"/>
            <w:vAlign w:val="bottom"/>
            <w:gridSpan w:val="10"/>
          </w:tcPr>
          <w:p>
            <w:pPr>
              <w:spacing w:after="0"/>
              <w:rPr>
                <w:rFonts w:ascii="Times New Roman" w:cs="Times New Roman" w:eastAsia="Times New Roman" w:hAnsi="Times New Roman"/>
                <w:sz w:val="14"/>
                <w:szCs w:val="14"/>
                <w:color w:val="0000EE"/>
                <w:w w:val="98"/>
              </w:rPr>
            </w:pPr>
            <w:hyperlink r:id="rId79">
              <w:r>
                <w:rPr>
                  <w:rFonts w:ascii="Times New Roman" w:cs="Times New Roman" w:eastAsia="Times New Roman" w:hAnsi="Times New Roman"/>
                  <w:sz w:val="14"/>
                  <w:szCs w:val="14"/>
                  <w:color w:val="0000EE"/>
                  <w:w w:val="98"/>
                </w:rPr>
                <w:t>Form of Debt Securities Warrant Agreement and Warrant Certificate (incorporated by reference to Exhibit</w:t>
              </w:r>
            </w:hyperlink>
          </w:p>
        </w:tc>
        <w:tc>
          <w:tcPr>
            <w:tcW w:w="1680" w:type="dxa"/>
            <w:vAlign w:val="bottom"/>
            <w:gridSpan w:val="7"/>
          </w:tcPr>
          <w:p>
            <w:pPr>
              <w:ind w:left="40"/>
              <w:spacing w:after="0"/>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4.10 to the Registrant’s</w:t>
              </w:r>
            </w:hyperlink>
          </w:p>
        </w:tc>
      </w:tr>
      <w:tr>
        <w:trPr>
          <w:trHeight w:val="145"/>
        </w:trPr>
        <w:tc>
          <w:tcPr>
            <w:tcW w:w="860" w:type="dxa"/>
            <w:vAlign w:val="bottom"/>
          </w:tcPr>
          <w:p>
            <w:pPr>
              <w:spacing w:after="0"/>
              <w:rPr>
                <w:sz w:val="12"/>
                <w:szCs w:val="12"/>
                <w:color w:val="auto"/>
              </w:rPr>
            </w:pPr>
          </w:p>
        </w:tc>
        <w:tc>
          <w:tcPr>
            <w:tcW w:w="5880" w:type="dxa"/>
            <w:vAlign w:val="bottom"/>
            <w:tcBorders>
              <w:top w:val="single" w:sz="8" w:color="0000EE"/>
            </w:tcBorders>
            <w:gridSpan w:val="10"/>
          </w:tcPr>
          <w:p>
            <w:pPr>
              <w:spacing w:after="0" w:line="145"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Registration Statement on Form S-3 (File No. 333-287043), filed with the SEC on May 7, 2025).</w:t>
              </w:r>
            </w:hyperlink>
          </w:p>
        </w:tc>
        <w:tc>
          <w:tcPr>
            <w:tcW w:w="160" w:type="dxa"/>
            <w:vAlign w:val="bottom"/>
            <w:tcBorders>
              <w:top w:val="single" w:sz="8" w:color="0000EE"/>
            </w:tcBorders>
          </w:tcPr>
          <w:p>
            <w:pPr>
              <w:spacing w:after="0"/>
              <w:rPr>
                <w:sz w:val="12"/>
                <w:szCs w:val="12"/>
                <w:color w:val="auto"/>
              </w:rPr>
            </w:pPr>
          </w:p>
        </w:tc>
        <w:tc>
          <w:tcPr>
            <w:tcW w:w="98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8"/>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53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Opinion of Cooley LLP.</w:t>
            </w:r>
          </w:p>
        </w:tc>
        <w:tc>
          <w:tcPr>
            <w:tcW w:w="5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3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7"/>
              </w:rPr>
              <w:t>Consent of Independent Registered Public Accounting Firm.</w:t>
            </w:r>
          </w:p>
        </w:tc>
        <w:tc>
          <w:tcPr>
            <w:tcW w:w="2540" w:type="dxa"/>
            <w:vAlign w:val="bottom"/>
            <w:gridSpan w:val="7"/>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588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Consent of Cooley LLP (included in Exhibit 5.1).</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588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Power of Attorney. Reference is made to the signature page hereto.</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25.1*</w:t>
            </w:r>
          </w:p>
        </w:tc>
        <w:tc>
          <w:tcPr>
            <w:tcW w:w="36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auto"/>
              </w:rPr>
              <w:t>Statement of Eligibility of Trustee under the Indenture.</w:t>
            </w:r>
          </w:p>
        </w:tc>
        <w:tc>
          <w:tcPr>
            <w:tcW w:w="2200" w:type="dxa"/>
            <w:vAlign w:val="bottom"/>
            <w:gridSpan w:val="5"/>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69" w:lineRule="exact"/>
        <w:rPr>
          <w:sz w:val="20"/>
          <w:szCs w:val="20"/>
          <w:color w:val="auto"/>
        </w:rPr>
      </w:pPr>
    </w:p>
    <w:p>
      <w:pPr>
        <w:ind w:left="1140" w:hanging="855"/>
        <w:spacing w:after="0"/>
        <w:tabs>
          <w:tab w:leader="none" w:pos="1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191" w:lineRule="exact"/>
        <w:rPr>
          <w:sz w:val="20"/>
          <w:szCs w:val="20"/>
          <w:color w:val="auto"/>
        </w:rPr>
      </w:pPr>
    </w:p>
    <w:p>
      <w:pPr>
        <w:ind w:left="460" w:right="699" w:hanging="175"/>
        <w:spacing w:after="0" w:line="273" w:lineRule="auto"/>
        <w:tabs>
          <w:tab w:leader="none" w:pos="4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by a report filed under the Securities Exchange Act of 1934, as amended, and incorporated herein by reference, if applicable.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9019"/>
          </w:cols>
          <w:pgMar w:left="1440" w:top="241" w:right="1440" w:bottom="1440" w:gutter="0" w:footer="0" w:header="0"/>
        </w:sectPr>
      </w:pPr>
    </w:p>
    <w:bookmarkStart w:id="40" w:name="page41"/>
    <w:bookmarkEnd w:id="40"/>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Item 17. Undertakings</w:t>
      </w:r>
    </w:p>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87" w:lineRule="exact"/>
        <w:rPr>
          <w:sz w:val="20"/>
          <w:szCs w:val="20"/>
          <w:color w:val="auto"/>
        </w:rPr>
      </w:pPr>
    </w:p>
    <w:p>
      <w:pPr>
        <w:ind w:left="820" w:hanging="198"/>
        <w:spacing w:after="0"/>
        <w:tabs>
          <w:tab w:leader="none" w:pos="8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87" w:lineRule="exact"/>
        <w:rPr>
          <w:rFonts w:ascii="Times New Roman" w:cs="Times New Roman" w:eastAsia="Times New Roman" w:hAnsi="Times New Roman"/>
          <w:sz w:val="14"/>
          <w:szCs w:val="14"/>
          <w:color w:val="auto"/>
        </w:rPr>
      </w:pPr>
    </w:p>
    <w:p>
      <w:pPr>
        <w:ind w:left="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include any prospectus required by Section 10(a)(3) of the Securities Act;</w:t>
      </w:r>
    </w:p>
    <w:p>
      <w:pPr>
        <w:spacing w:after="0" w:line="170" w:lineRule="exact"/>
        <w:rPr>
          <w:sz w:val="20"/>
          <w:szCs w:val="20"/>
          <w:color w:val="auto"/>
        </w:rPr>
      </w:pPr>
    </w:p>
    <w:p>
      <w:pPr>
        <w:ind w:left="280" w:right="339" w:firstLine="342"/>
        <w:spacing w:after="0" w:line="251" w:lineRule="auto"/>
        <w:tabs>
          <w:tab w:leader="none" w:pos="8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48" w:lineRule="exact"/>
        <w:rPr>
          <w:rFonts w:ascii="Times New Roman" w:cs="Times New Roman" w:eastAsia="Times New Roman" w:hAnsi="Times New Roman"/>
          <w:sz w:val="14"/>
          <w:szCs w:val="14"/>
          <w:color w:val="auto"/>
        </w:rPr>
      </w:pPr>
    </w:p>
    <w:p>
      <w:pPr>
        <w:ind w:left="280" w:right="699" w:firstLine="342"/>
        <w:spacing w:after="0" w:line="273" w:lineRule="auto"/>
        <w:tabs>
          <w:tab w:leader="none" w:pos="859"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0" w:lineRule="exact"/>
        <w:rPr>
          <w:sz w:val="20"/>
          <w:szCs w:val="20"/>
          <w:color w:val="auto"/>
        </w:rPr>
      </w:pPr>
    </w:p>
    <w:p>
      <w:pPr>
        <w:ind w:left="280" w:right="619" w:firstLine="337"/>
        <w:spacing w:after="0" w:line="281" w:lineRule="auto"/>
        <w:rPr>
          <w:sz w:val="20"/>
          <w:szCs w:val="20"/>
          <w:color w:val="auto"/>
        </w:rPr>
      </w:pPr>
      <w:r>
        <w:rPr>
          <w:rFonts w:ascii="Times New Roman" w:cs="Times New Roman" w:eastAsia="Times New Roman" w:hAnsi="Times New Roman"/>
          <w:sz w:val="13"/>
          <w:szCs w:val="13"/>
          <w:color w:val="auto"/>
        </w:rPr>
        <w:t>provided, however, that the undertakings set forth in paragraphs (1)(i), (1)(ii) and (1)(iii) above do not apply if the information required to be included in a post-effective amendment by those paragraphs is contained in reports filed with or furnished to the SEC by the registrant pursuant to Section 13 or Section 15(d) of the Securities Exchange Act of 1934, as amended (the Exchange Act), that are incorporated by reference in this registration statement or are contained in a form of prospectus filed pursuant to Rule 424(b) that is part of this registration statement.</w:t>
      </w:r>
    </w:p>
    <w:p>
      <w:pPr>
        <w:spacing w:after="0" w:line="127" w:lineRule="exact"/>
        <w:rPr>
          <w:sz w:val="20"/>
          <w:szCs w:val="20"/>
          <w:color w:val="auto"/>
        </w:rPr>
      </w:pPr>
    </w:p>
    <w:p>
      <w:pPr>
        <w:ind w:left="280" w:right="419" w:firstLine="342"/>
        <w:spacing w:after="0" w:line="259" w:lineRule="auto"/>
        <w:tabs>
          <w:tab w:leader="none" w:pos="813"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Times New Roman" w:cs="Times New Roman" w:eastAsia="Times New Roman" w:hAnsi="Times New Roman"/>
          <w:sz w:val="14"/>
          <w:szCs w:val="14"/>
          <w:color w:val="auto"/>
        </w:rPr>
      </w:pPr>
    </w:p>
    <w:p>
      <w:pPr>
        <w:ind w:left="280" w:right="779" w:firstLine="342"/>
        <w:spacing w:after="0" w:line="273" w:lineRule="auto"/>
        <w:tabs>
          <w:tab w:leader="none" w:pos="813"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30" w:lineRule="exact"/>
        <w:rPr>
          <w:rFonts w:ascii="Times New Roman" w:cs="Times New Roman" w:eastAsia="Times New Roman" w:hAnsi="Times New Roman"/>
          <w:sz w:val="14"/>
          <w:szCs w:val="14"/>
          <w:color w:val="auto"/>
        </w:rPr>
      </w:pPr>
    </w:p>
    <w:p>
      <w:pPr>
        <w:ind w:left="820" w:hanging="198"/>
        <w:spacing w:after="0"/>
        <w:tabs>
          <w:tab w:leader="none" w:pos="8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87" w:lineRule="exact"/>
        <w:rPr>
          <w:sz w:val="20"/>
          <w:szCs w:val="20"/>
          <w:color w:val="auto"/>
        </w:rPr>
      </w:pPr>
    </w:p>
    <w:p>
      <w:pPr>
        <w:ind w:left="280" w:right="299" w:firstLine="342"/>
        <w:spacing w:after="0" w:line="273" w:lineRule="auto"/>
        <w:tabs>
          <w:tab w:leader="none" w:pos="78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0" w:lineRule="exact"/>
        <w:rPr>
          <w:rFonts w:ascii="Times New Roman" w:cs="Times New Roman" w:eastAsia="Times New Roman" w:hAnsi="Times New Roman"/>
          <w:sz w:val="14"/>
          <w:szCs w:val="14"/>
          <w:color w:val="auto"/>
        </w:rPr>
      </w:pPr>
    </w:p>
    <w:p>
      <w:pPr>
        <w:ind w:left="280" w:right="299" w:firstLine="342"/>
        <w:spacing w:after="0" w:line="250" w:lineRule="auto"/>
        <w:tabs>
          <w:tab w:leader="none" w:pos="8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9019"/>
          </w:cols>
          <w:pgMar w:left="1440" w:top="236" w:right="1440" w:bottom="1440" w:gutter="0" w:footer="0" w:header="0"/>
        </w:sectPr>
      </w:pPr>
    </w:p>
    <w:bookmarkStart w:id="41" w:name="page42"/>
    <w:bookmarkEnd w:id="41"/>
    <w:p>
      <w:pPr>
        <w:ind w:left="280" w:right="519"/>
        <w:spacing w:after="0" w:line="31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8" w:lineRule="exact"/>
        <w:rPr>
          <w:sz w:val="20"/>
          <w:szCs w:val="20"/>
          <w:color w:val="auto"/>
        </w:rPr>
      </w:pPr>
    </w:p>
    <w:p>
      <w:pPr>
        <w:ind w:left="280" w:right="319" w:firstLine="342"/>
        <w:spacing w:after="0" w:line="250" w:lineRule="auto"/>
        <w:tabs>
          <w:tab w:leader="none" w:pos="81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45" w:lineRule="exact"/>
        <w:rPr>
          <w:rFonts w:ascii="Times New Roman" w:cs="Times New Roman" w:eastAsia="Times New Roman" w:hAnsi="Times New Roman"/>
          <w:sz w:val="14"/>
          <w:szCs w:val="14"/>
          <w:color w:val="auto"/>
        </w:rPr>
      </w:pPr>
    </w:p>
    <w:p>
      <w:pPr>
        <w:ind w:left="280" w:right="399" w:firstLine="342"/>
        <w:spacing w:after="0" w:line="255" w:lineRule="auto"/>
        <w:tabs>
          <w:tab w:leader="none" w:pos="81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3" w:lineRule="exact"/>
        <w:rPr>
          <w:rFonts w:ascii="Times New Roman" w:cs="Times New Roman" w:eastAsia="Times New Roman" w:hAnsi="Times New Roman"/>
          <w:sz w:val="14"/>
          <w:szCs w:val="14"/>
          <w:color w:val="auto"/>
        </w:rPr>
      </w:pPr>
    </w:p>
    <w:p>
      <w:pPr>
        <w:ind w:left="280" w:right="779" w:firstLine="342"/>
        <w:spacing w:after="0" w:line="273" w:lineRule="auto"/>
        <w:tabs>
          <w:tab w:leader="none" w:pos="81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30" w:lineRule="exact"/>
        <w:rPr>
          <w:sz w:val="20"/>
          <w:szCs w:val="20"/>
          <w:color w:val="auto"/>
        </w:rPr>
      </w:pPr>
    </w:p>
    <w:p>
      <w:pPr>
        <w:ind w:left="280" w:right="399" w:firstLine="337"/>
        <w:spacing w:after="0" w:line="250"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9019"/>
          </w:cols>
          <w:pgMar w:left="1440" w:top="241"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SIGNATURES</w:t>
      </w:r>
    </w:p>
    <w:p>
      <w:pPr>
        <w:spacing w:after="0" w:line="174" w:lineRule="exact"/>
        <w:rPr>
          <w:sz w:val="20"/>
          <w:szCs w:val="20"/>
          <w:color w:val="auto"/>
        </w:rPr>
      </w:pPr>
    </w:p>
    <w:p>
      <w:pPr>
        <w:jc w:val="both"/>
        <w:ind w:left="280" w:right="599" w:firstLine="337"/>
        <w:spacing w:after="0" w:line="25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Carlsbad, State of California, on November 4, 2026.</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DESIGN THERAPEUTICS, INC.</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Pratik Shah,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10795</wp:posOffset>
            </wp:positionV>
            <wp:extent cx="198945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1989455" cy="635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4"/>
          <w:szCs w:val="14"/>
          <w:color w:val="auto"/>
        </w:rPr>
        <w:t>Pratik Shah, Ph.D.</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Chief Executive Officer and</w:t>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Chairperson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4" w:lineRule="exact"/>
        <w:rPr>
          <w:sz w:val="20"/>
          <w:szCs w:val="20"/>
          <w:color w:val="auto"/>
        </w:rPr>
      </w:pPr>
    </w:p>
    <w:p>
      <w:pPr>
        <w:ind w:left="280" w:right="439" w:firstLine="337"/>
        <w:spacing w:after="0" w:line="250" w:lineRule="auto"/>
        <w:rPr>
          <w:sz w:val="20"/>
          <w:szCs w:val="20"/>
          <w:color w:val="auto"/>
        </w:rPr>
      </w:pPr>
      <w:r>
        <w:rPr>
          <w:rFonts w:ascii="Times New Roman" w:cs="Times New Roman" w:eastAsia="Times New Roman" w:hAnsi="Times New Roman"/>
          <w:sz w:val="14"/>
          <w:szCs w:val="14"/>
          <w:color w:val="auto"/>
        </w:rPr>
        <w:t>KNOW ALL BY THESE PRESENTS, that each person whose signature appears below constitutes and appoints Pratik Shah, Ph.D. as his or her true and lawful attorney-in-fact and agent,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she or he might or could do in person, hereby ratifying and confirming all that said attorney-in-fact and agent, or his or her substitute or substitutes, may lawfully do or cause to be done by virtue hereof.</w:t>
      </w:r>
    </w:p>
    <w:p>
      <w:pPr>
        <w:spacing w:after="0" w:line="145" w:lineRule="exact"/>
        <w:rPr>
          <w:sz w:val="20"/>
          <w:szCs w:val="20"/>
          <w:color w:val="auto"/>
        </w:rPr>
      </w:pPr>
    </w:p>
    <w:p>
      <w:pPr>
        <w:ind w:left="280" w:right="299" w:firstLine="337"/>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44"/>
        </w:trPr>
        <w:tc>
          <w:tcPr>
            <w:tcW w:w="3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180" w:type="dxa"/>
            <w:vAlign w:val="bottom"/>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240" w:type="dxa"/>
            <w:vAlign w:val="bottom"/>
          </w:tcPr>
          <w:p>
            <w:pPr>
              <w:jc w:val="center"/>
              <w:ind w:left="153"/>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20"/>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Pratik Shah</w:t>
            </w:r>
          </w:p>
        </w:tc>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President, Chief Executive Officer and Chairperson</w:t>
            </w:r>
          </w:p>
        </w:tc>
        <w:tc>
          <w:tcPr>
            <w:tcW w:w="1240" w:type="dxa"/>
            <w:vAlign w:val="bottom"/>
          </w:tcPr>
          <w:p>
            <w:pPr>
              <w:jc w:val="center"/>
              <w:ind w:left="153"/>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9"/>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Pratik Shah, Ph.D.</w:t>
            </w:r>
          </w:p>
        </w:tc>
        <w:tc>
          <w:tcPr>
            <w:tcW w:w="3180" w:type="dxa"/>
            <w:vAlign w:val="bottom"/>
          </w:tcPr>
          <w:p>
            <w:pPr>
              <w:jc w:val="center"/>
              <w:ind w:right="12"/>
              <w:spacing w:after="0"/>
              <w:rPr>
                <w:sz w:val="20"/>
                <w:szCs w:val="20"/>
                <w:color w:val="auto"/>
              </w:rPr>
            </w:pPr>
            <w:r>
              <w:rPr>
                <w:rFonts w:ascii="Times New Roman" w:cs="Times New Roman" w:eastAsia="Times New Roman" w:hAnsi="Times New Roman"/>
                <w:sz w:val="14"/>
                <w:szCs w:val="14"/>
                <w:i w:val="1"/>
                <w:iCs w:val="1"/>
                <w:color w:val="auto"/>
                <w:w w:val="98"/>
              </w:rPr>
              <w:t>(Principal Executive and Financial Officer)</w:t>
            </w:r>
          </w:p>
        </w:tc>
        <w:tc>
          <w:tcPr>
            <w:tcW w:w="1240" w:type="dxa"/>
            <w:vAlign w:val="bottom"/>
          </w:tcPr>
          <w:p>
            <w:pPr>
              <w:spacing w:after="0"/>
              <w:rPr>
                <w:sz w:val="14"/>
                <w:szCs w:val="14"/>
                <w:color w:val="auto"/>
              </w:rPr>
            </w:pPr>
          </w:p>
        </w:tc>
      </w:tr>
      <w:tr>
        <w:trPr>
          <w:trHeight w:val="328"/>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Julie Burgess</w:t>
            </w:r>
          </w:p>
        </w:tc>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Chief Accounting Officer</w:t>
            </w:r>
          </w:p>
        </w:tc>
        <w:tc>
          <w:tcPr>
            <w:tcW w:w="1240" w:type="dxa"/>
            <w:vAlign w:val="bottom"/>
          </w:tcPr>
          <w:p>
            <w:pPr>
              <w:jc w:val="center"/>
              <w:ind w:left="153"/>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9"/>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Julie Burgess</w:t>
            </w:r>
          </w:p>
        </w:tc>
        <w:tc>
          <w:tcPr>
            <w:tcW w:w="3180" w:type="dxa"/>
            <w:vAlign w:val="bottom"/>
          </w:tcPr>
          <w:p>
            <w:pPr>
              <w:jc w:val="center"/>
              <w:ind w:right="12"/>
              <w:spacing w:after="0"/>
              <w:rPr>
                <w:sz w:val="20"/>
                <w:szCs w:val="20"/>
                <w:color w:val="auto"/>
              </w:rPr>
            </w:pPr>
            <w:r>
              <w:rPr>
                <w:rFonts w:ascii="Times New Roman" w:cs="Times New Roman" w:eastAsia="Times New Roman" w:hAnsi="Times New Roman"/>
                <w:sz w:val="14"/>
                <w:szCs w:val="14"/>
                <w:i w:val="1"/>
                <w:iCs w:val="1"/>
                <w:color w:val="auto"/>
                <w:w w:val="98"/>
              </w:rPr>
              <w:t>(Principal Accounting Officer)</w:t>
            </w:r>
          </w:p>
        </w:tc>
        <w:tc>
          <w:tcPr>
            <w:tcW w:w="1240" w:type="dxa"/>
            <w:vAlign w:val="bottom"/>
          </w:tcPr>
          <w:p>
            <w:pPr>
              <w:spacing w:after="0"/>
              <w:rPr>
                <w:sz w:val="14"/>
                <w:szCs w:val="14"/>
                <w:color w:val="auto"/>
              </w:rPr>
            </w:pPr>
          </w:p>
        </w:tc>
      </w:tr>
      <w:tr>
        <w:trPr>
          <w:trHeight w:val="328"/>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Heather Berger</w:t>
            </w:r>
          </w:p>
        </w:tc>
        <w:tc>
          <w:tcPr>
            <w:tcW w:w="318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98"/>
              </w:rPr>
              <w:t>Director</w:t>
            </w:r>
          </w:p>
        </w:tc>
        <w:tc>
          <w:tcPr>
            <w:tcW w:w="1240" w:type="dxa"/>
            <w:vAlign w:val="bottom"/>
          </w:tcPr>
          <w:p>
            <w:pPr>
              <w:jc w:val="center"/>
              <w:ind w:left="153"/>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9"/>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Heather Berger, Ph.D.</w:t>
            </w:r>
          </w:p>
        </w:tc>
        <w:tc>
          <w:tcPr>
            <w:tcW w:w="3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8"/>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Simeon George</w:t>
            </w:r>
          </w:p>
        </w:tc>
        <w:tc>
          <w:tcPr>
            <w:tcW w:w="318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98"/>
              </w:rPr>
              <w:t>Director</w:t>
            </w:r>
          </w:p>
        </w:tc>
        <w:tc>
          <w:tcPr>
            <w:tcW w:w="1240" w:type="dxa"/>
            <w:vAlign w:val="bottom"/>
          </w:tcPr>
          <w:p>
            <w:pPr>
              <w:jc w:val="center"/>
              <w:ind w:left="153"/>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9"/>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Simeon George, M.D.</w:t>
            </w:r>
          </w:p>
        </w:tc>
        <w:tc>
          <w:tcPr>
            <w:tcW w:w="3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8"/>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Justin Gover</w:t>
            </w:r>
          </w:p>
        </w:tc>
        <w:tc>
          <w:tcPr>
            <w:tcW w:w="318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98"/>
              </w:rPr>
              <w:t>Director</w:t>
            </w:r>
          </w:p>
        </w:tc>
        <w:tc>
          <w:tcPr>
            <w:tcW w:w="1240" w:type="dxa"/>
            <w:vAlign w:val="bottom"/>
          </w:tcPr>
          <w:p>
            <w:pPr>
              <w:jc w:val="center"/>
              <w:ind w:left="153"/>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9"/>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Justin Gover</w:t>
            </w:r>
          </w:p>
        </w:tc>
        <w:tc>
          <w:tcPr>
            <w:tcW w:w="3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8"/>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Rodney Lappe</w:t>
            </w:r>
          </w:p>
        </w:tc>
        <w:tc>
          <w:tcPr>
            <w:tcW w:w="318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98"/>
              </w:rPr>
              <w:t>Director</w:t>
            </w:r>
          </w:p>
        </w:tc>
        <w:tc>
          <w:tcPr>
            <w:tcW w:w="1240" w:type="dxa"/>
            <w:vAlign w:val="bottom"/>
          </w:tcPr>
          <w:p>
            <w:pPr>
              <w:jc w:val="center"/>
              <w:ind w:left="153"/>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9"/>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Rodney Lappe, Ph.D.</w:t>
            </w:r>
          </w:p>
        </w:tc>
        <w:tc>
          <w:tcPr>
            <w:tcW w:w="3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77"/>
        </w:trPr>
        <w:tc>
          <w:tcPr>
            <w:tcW w:w="3820" w:type="dxa"/>
            <w:vAlign w:val="bottom"/>
          </w:tcPr>
          <w:p>
            <w:pPr>
              <w:spacing w:after="0"/>
              <w:rPr>
                <w:sz w:val="24"/>
                <w:szCs w:val="24"/>
                <w:color w:val="auto"/>
              </w:rPr>
            </w:pPr>
          </w:p>
        </w:tc>
        <w:tc>
          <w:tcPr>
            <w:tcW w:w="31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II-5</w:t>
            </w:r>
          </w:p>
        </w:tc>
        <w:tc>
          <w:tcPr>
            <w:tcW w:w="1240" w:type="dxa"/>
            <w:vAlign w:val="bottom"/>
          </w:tcPr>
          <w:p>
            <w:pPr>
              <w:spacing w:after="0"/>
              <w:rPr>
                <w:sz w:val="24"/>
                <w:szCs w:val="24"/>
                <w:color w:val="auto"/>
              </w:rPr>
            </w:pPr>
          </w:p>
        </w:tc>
      </w:tr>
    </w:tbl>
    <w:p>
      <w:pPr>
        <w:sectPr>
          <w:pgSz w:w="11900" w:h="16838" w:orient="portrait"/>
          <w:cols w:equalWidth="0" w:num="1">
            <w:col w:w="9019"/>
          </w:cols>
          <w:pgMar w:left="1440" w:top="236" w:right="1440" w:bottom="1440" w:gutter="0" w:footer="0" w:header="0"/>
        </w:sectPr>
      </w:pPr>
    </w:p>
    <w:bookmarkStart w:id="43" w:name="page44"/>
    <w:bookmarkEnd w:id="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144"/>
        </w:trPr>
        <w:tc>
          <w:tcPr>
            <w:tcW w:w="3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2600" w:type="dxa"/>
            <w:vAlign w:val="bottom"/>
          </w:tcPr>
          <w:p>
            <w:pPr>
              <w:jc w:val="center"/>
              <w:ind w:left="435"/>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820" w:type="dxa"/>
            <w:vAlign w:val="bottom"/>
          </w:tcPr>
          <w:p>
            <w:pPr>
              <w:jc w:val="center"/>
              <w:ind w:left="736"/>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20"/>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John Schmid</w:t>
            </w:r>
          </w:p>
        </w:tc>
        <w:tc>
          <w:tcPr>
            <w:tcW w:w="2600" w:type="dxa"/>
            <w:vAlign w:val="bottom"/>
          </w:tcPr>
          <w:p>
            <w:pPr>
              <w:jc w:val="center"/>
              <w:ind w:left="435"/>
              <w:spacing w:after="0"/>
              <w:rPr>
                <w:sz w:val="20"/>
                <w:szCs w:val="20"/>
                <w:color w:val="auto"/>
              </w:rPr>
            </w:pPr>
            <w:r>
              <w:rPr>
                <w:rFonts w:ascii="Times New Roman" w:cs="Times New Roman" w:eastAsia="Times New Roman" w:hAnsi="Times New Roman"/>
                <w:sz w:val="14"/>
                <w:szCs w:val="14"/>
                <w:color w:val="auto"/>
                <w:w w:val="98"/>
              </w:rPr>
              <w:t>Director</w:t>
            </w:r>
          </w:p>
        </w:tc>
        <w:tc>
          <w:tcPr>
            <w:tcW w:w="1820" w:type="dxa"/>
            <w:vAlign w:val="bottom"/>
          </w:tcPr>
          <w:p>
            <w:pPr>
              <w:jc w:val="center"/>
              <w:ind w:left="736"/>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9"/>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John Schmid, Ph.D.</w:t>
            </w:r>
          </w:p>
        </w:tc>
        <w:tc>
          <w:tcPr>
            <w:tcW w:w="26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28"/>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David Shapiro</w:t>
            </w:r>
          </w:p>
        </w:tc>
        <w:tc>
          <w:tcPr>
            <w:tcW w:w="2600" w:type="dxa"/>
            <w:vAlign w:val="bottom"/>
          </w:tcPr>
          <w:p>
            <w:pPr>
              <w:jc w:val="center"/>
              <w:ind w:left="435"/>
              <w:spacing w:after="0"/>
              <w:rPr>
                <w:sz w:val="20"/>
                <w:szCs w:val="20"/>
                <w:color w:val="auto"/>
              </w:rPr>
            </w:pPr>
            <w:r>
              <w:rPr>
                <w:rFonts w:ascii="Times New Roman" w:cs="Times New Roman" w:eastAsia="Times New Roman" w:hAnsi="Times New Roman"/>
                <w:sz w:val="14"/>
                <w:szCs w:val="14"/>
                <w:color w:val="auto"/>
                <w:w w:val="98"/>
              </w:rPr>
              <w:t>Director</w:t>
            </w:r>
          </w:p>
        </w:tc>
        <w:tc>
          <w:tcPr>
            <w:tcW w:w="1820" w:type="dxa"/>
            <w:vAlign w:val="bottom"/>
          </w:tcPr>
          <w:p>
            <w:pPr>
              <w:jc w:val="center"/>
              <w:ind w:left="736"/>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9"/>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David Shapiro, M.D.</w:t>
            </w:r>
          </w:p>
        </w:tc>
        <w:tc>
          <w:tcPr>
            <w:tcW w:w="26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77"/>
        </w:trPr>
        <w:tc>
          <w:tcPr>
            <w:tcW w:w="3820" w:type="dxa"/>
            <w:vAlign w:val="bottom"/>
          </w:tcPr>
          <w:p>
            <w:pPr>
              <w:spacing w:after="0"/>
              <w:rPr>
                <w:sz w:val="24"/>
                <w:szCs w:val="24"/>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II-6</w:t>
            </w:r>
          </w:p>
        </w:tc>
        <w:tc>
          <w:tcPr>
            <w:tcW w:w="1820" w:type="dxa"/>
            <w:vAlign w:val="bottom"/>
          </w:tcPr>
          <w:p>
            <w:pPr>
              <w:spacing w:after="0"/>
              <w:rPr>
                <w:sz w:val="24"/>
                <w:szCs w:val="24"/>
                <w:color w:val="auto"/>
              </w:rPr>
            </w:pPr>
          </w:p>
        </w:tc>
      </w:tr>
    </w:tbl>
    <w:p>
      <w:pPr>
        <w:sectPr>
          <w:pgSz w:w="11900" w:h="16838" w:orient="portrait"/>
          <w:cols w:equalWidth="0" w:num="1">
            <w:col w:w="9019"/>
          </w:cols>
          <w:pgMar w:left="1440" w:top="234" w:right="1440" w:bottom="1440" w:gutter="0" w:footer="0" w:header="0"/>
        </w:sectPr>
      </w:pPr>
    </w:p>
    <w:bookmarkStart w:id="44" w:name="page45"/>
    <w:bookmarkEnd w:id="44"/>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131445</wp:posOffset>
            </wp:positionV>
            <wp:extent cx="892810" cy="288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892810" cy="28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Asa M. Henin</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+1 858 550 6104</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ahenin@cooley.com</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November 4, 2026</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Design Therapeutics, Inc.</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6005 Hidden Valley Road, Suite 110</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Carlsbad, CA 92011</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3" w:lineRule="exact"/>
        <w:rPr>
          <w:sz w:val="20"/>
          <w:szCs w:val="20"/>
          <w:color w:val="auto"/>
        </w:rPr>
      </w:pPr>
    </w:p>
    <w:p>
      <w:pPr>
        <w:ind w:left="280" w:right="319"/>
        <w:spacing w:after="0" w:line="253" w:lineRule="auto"/>
        <w:rPr>
          <w:sz w:val="20"/>
          <w:szCs w:val="20"/>
          <w:color w:val="auto"/>
        </w:rPr>
      </w:pPr>
      <w:r>
        <w:rPr>
          <w:rFonts w:ascii="Times New Roman" w:cs="Times New Roman" w:eastAsia="Times New Roman" w:hAnsi="Times New Roman"/>
          <w:sz w:val="14"/>
          <w:szCs w:val="14"/>
          <w:color w:val="auto"/>
        </w:rPr>
        <w:t>We have acted as counsel to Design Therapeutics,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filing by the Company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The Registration Statement includes a prospectus (the “</w:t>
      </w:r>
      <w:r>
        <w:rPr>
          <w:rFonts w:ascii="Times New Roman" w:cs="Times New Roman" w:eastAsia="Times New Roman" w:hAnsi="Times New Roman"/>
          <w:sz w:val="14"/>
          <w:szCs w:val="14"/>
          <w:b w:val="1"/>
          <w:bCs w:val="1"/>
          <w:i w:val="1"/>
          <w:iCs w:val="1"/>
          <w:color w:val="auto"/>
        </w:rPr>
        <w:t>Base Prospectus</w:t>
      </w:r>
      <w:r>
        <w:rPr>
          <w:rFonts w:ascii="Times New Roman" w:cs="Times New Roman" w:eastAsia="Times New Roman" w:hAnsi="Times New Roman"/>
          <w:sz w:val="14"/>
          <w:szCs w:val="14"/>
          <w:color w:val="auto"/>
        </w:rPr>
        <w:t>”) that provides it will be supplemented by one or more prospectus supplements (each, a “</w:t>
      </w:r>
      <w:r>
        <w:rPr>
          <w:rFonts w:ascii="Times New Roman" w:cs="Times New Roman" w:eastAsia="Times New Roman" w:hAnsi="Times New Roman"/>
          <w:sz w:val="14"/>
          <w:szCs w:val="14"/>
          <w:b w:val="1"/>
          <w:bCs w:val="1"/>
          <w:i w:val="1"/>
          <w:iCs w:val="1"/>
          <w:color w:val="auto"/>
        </w:rPr>
        <w:t>Prospectus Supplement</w:t>
      </w:r>
      <w:r>
        <w:rPr>
          <w:rFonts w:ascii="Times New Roman" w:cs="Times New Roman" w:eastAsia="Times New Roman" w:hAnsi="Times New Roman"/>
          <w:sz w:val="14"/>
          <w:szCs w:val="14"/>
          <w:color w:val="auto"/>
        </w:rPr>
        <w:t>”). The Registration Statement, including the Base Prospectus (as supplemented from time to time by one or more Prospectus Supplements), will provide for the registration by the Company of the sale of the following securities:</w:t>
      </w:r>
    </w:p>
    <w:p>
      <w:pPr>
        <w:spacing w:after="0" w:line="68" w:lineRule="exact"/>
        <w:rPr>
          <w:sz w:val="20"/>
          <w:szCs w:val="20"/>
          <w:color w:val="auto"/>
        </w:rPr>
      </w:pPr>
    </w:p>
    <w:p>
      <w:pPr>
        <w:ind w:left="1020" w:hanging="322"/>
        <w:spacing w:after="0"/>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par value $0.0001 per share, of the Company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preferred stock, par value $0.0001 per share, of the Company (the “</w:t>
      </w:r>
      <w:r>
        <w:rPr>
          <w:rFonts w:ascii="Times New Roman" w:cs="Times New Roman" w:eastAsia="Times New Roman" w:hAnsi="Times New Roman"/>
          <w:sz w:val="14"/>
          <w:szCs w:val="14"/>
          <w:b w:val="1"/>
          <w:bCs w:val="1"/>
          <w:i w:val="1"/>
          <w:iCs w:val="1"/>
          <w:color w:val="auto"/>
        </w:rPr>
        <w:t>Preferred Stock</w:t>
      </w:r>
      <w:r>
        <w:rPr>
          <w:rFonts w:ascii="Times New Roman" w:cs="Times New Roman" w:eastAsia="Times New Roman" w:hAnsi="Times New Roman"/>
          <w:sz w:val="14"/>
          <w:szCs w:val="14"/>
          <w:color w:val="auto"/>
        </w:rPr>
        <w:t>”);</w:t>
      </w:r>
    </w:p>
    <w:p>
      <w:pPr>
        <w:spacing w:after="0" w:line="97" w:lineRule="exact"/>
        <w:rPr>
          <w:rFonts w:ascii="Times New Roman" w:cs="Times New Roman" w:eastAsia="Times New Roman" w:hAnsi="Times New Roman"/>
          <w:sz w:val="14"/>
          <w:szCs w:val="14"/>
          <w:color w:val="auto"/>
        </w:rPr>
      </w:pPr>
    </w:p>
    <w:p>
      <w:pPr>
        <w:ind w:left="1020" w:right="299" w:hanging="322"/>
        <w:spacing w:after="0" w:line="257" w:lineRule="auto"/>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in one or more series (the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which may be issued pursuant to an indenture to be dated on or about the date of the first issuance of Debt Securities thereunder, by and between a trustee to be selected by the Company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and the Company, in the form filed as Exhibit 4.6 to the Registration Statement and one or more indentures supplemental thereto with respect to any particular series of Debt Securities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and</w:t>
      </w:r>
    </w:p>
    <w:p>
      <w:pPr>
        <w:spacing w:after="0" w:line="65" w:lineRule="exact"/>
        <w:rPr>
          <w:rFonts w:ascii="Times New Roman" w:cs="Times New Roman" w:eastAsia="Times New Roman" w:hAnsi="Times New Roman"/>
          <w:sz w:val="14"/>
          <w:szCs w:val="14"/>
          <w:color w:val="auto"/>
        </w:rPr>
      </w:pPr>
    </w:p>
    <w:p>
      <w:pPr>
        <w:ind w:left="1020" w:right="379" w:hanging="322"/>
        <w:spacing w:after="0" w:line="257" w:lineRule="auto"/>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Common Stock, Preferred Stock, or Debt Securities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which may be issued under one or more warrant agreements, to be dated on or about the date of the first issuance of the Warrants thereunder, by and between a warrant agent to be selected by the Company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and the Company, in the forms filed as Exhibits 4.8, 4.9 and 4.10, respectively, to the Registration Statement (each, a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280" w:right="299"/>
        <w:spacing w:after="0" w:line="255" w:lineRule="auto"/>
        <w:rPr>
          <w:sz w:val="20"/>
          <w:szCs w:val="20"/>
          <w:color w:val="auto"/>
        </w:rPr>
      </w:pPr>
      <w:r>
        <w:rPr>
          <w:rFonts w:ascii="Times New Roman" w:cs="Times New Roman" w:eastAsia="Times New Roman" w:hAnsi="Times New Roman"/>
          <w:sz w:val="14"/>
          <w:szCs w:val="14"/>
          <w:color w:val="auto"/>
        </w:rPr>
        <w:t>The Common Stock, the Preferred Stock, the Debt Securities and the Warrants, plus any additional Common Stock, Preferred Stock, Debt Securities and Warrants that may be registered pursuant to any registration statement that the Company may hereafter file with the Commission pursuant to Rule 462(b) under the Securities Act in connection with an offering by the Company pursuant to the Registration Statement, are collectively referred to herein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The Securities are being registered for offer and sale from time to time pursuant to Rule 415 under the Securities Act.</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10265 Science Center Drive San Diego, CA 92121-1117</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+1 858 550 6000 f: +1 858 550-6420 cooley.com</w:t>
      </w:r>
    </w:p>
    <w:p>
      <w:pPr>
        <w:sectPr>
          <w:pgSz w:w="11900" w:h="16838" w:orient="portrait"/>
          <w:cols w:equalWidth="0" w:num="1">
            <w:col w:w="9019"/>
          </w:cols>
          <w:pgMar w:left="1440" w:top="123" w:right="1440" w:bottom="1440" w:gutter="0" w:footer="0" w:header="0"/>
        </w:sectPr>
      </w:pPr>
    </w:p>
    <w:bookmarkStart w:id="45" w:name="page46"/>
    <w:bookmarkEnd w:id="45"/>
    <w:p>
      <w:pPr>
        <w:ind w:left="2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202805" cy="32385"/>
                    </a:xfrm>
                    <a:prstGeom prst="rect">
                      <a:avLst/>
                    </a:prstGeom>
                    <a:noFill/>
                  </pic:spPr>
                </pic:pic>
              </a:graphicData>
            </a:graphic>
          </wp:anchor>
        </w:drawing>
        <w:drawing>
          <wp:anchor simplePos="0" relativeHeight="251657728" behindDoc="1" locked="0" layoutInCell="0" allowOverlap="1">
            <wp:simplePos x="0" y="0"/>
            <wp:positionH relativeFrom="page">
              <wp:posOffset>1098550</wp:posOffset>
            </wp:positionH>
            <wp:positionV relativeFrom="page">
              <wp:posOffset>161290</wp:posOffset>
            </wp:positionV>
            <wp:extent cx="892810" cy="288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892810" cy="288925"/>
                    </a:xfrm>
                    <a:prstGeom prst="rect">
                      <a:avLst/>
                    </a:prstGeom>
                    <a:noFill/>
                  </pic:spPr>
                </pic:pic>
              </a:graphicData>
            </a:graphic>
          </wp:anchor>
        </w:drawing>
        <w:t>Design Therapeutics, Inc.</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November 4, 2026</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Page Two</w:t>
      </w:r>
    </w:p>
    <w:p>
      <w:pPr>
        <w:spacing w:after="0" w:line="105" w:lineRule="exact"/>
        <w:rPr>
          <w:sz w:val="20"/>
          <w:szCs w:val="20"/>
          <w:color w:val="auto"/>
        </w:rPr>
      </w:pPr>
    </w:p>
    <w:p>
      <w:pPr>
        <w:ind w:left="280" w:right="339"/>
        <w:spacing w:after="0" w:line="251"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(a) the Registration Statement and the Base Prospectus, (b) the Company’s certificate of incorporation and bylaws, each as currently in effect, and (c) such other records, documents, certificates, opinions,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 As to certain factual matters, we have relied upon a certificate of an officer of the Company and have not independently verified such matters.</w:t>
      </w:r>
    </w:p>
    <w:p>
      <w:pPr>
        <w:spacing w:after="0" w:line="145" w:lineRule="exact"/>
        <w:rPr>
          <w:sz w:val="20"/>
          <w:szCs w:val="20"/>
          <w:color w:val="auto"/>
        </w:rPr>
      </w:pPr>
    </w:p>
    <w:p>
      <w:pPr>
        <w:ind w:left="280" w:right="299"/>
        <w:spacing w:after="0" w:line="248" w:lineRule="auto"/>
        <w:rPr>
          <w:sz w:val="20"/>
          <w:szCs w:val="20"/>
          <w:color w:val="auto"/>
        </w:rPr>
      </w:pPr>
      <w:r>
        <w:rPr>
          <w:rFonts w:ascii="Times New Roman" w:cs="Times New Roman" w:eastAsia="Times New Roman" w:hAnsi="Times New Roman"/>
          <w:sz w:val="14"/>
          <w:szCs w:val="14"/>
          <w:color w:val="auto"/>
        </w:rPr>
        <w:t>With respect to our opinion as to the Common Stock, we have assumed that, at the time of issuance and sale, a sufficient number of shares of Common Stock will be authorized and available for issuance and that the consideration for the issuance and sale of the Common Stock (or Preferred Stock or Debt Securities convertible into, or Warrants exercisable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53" w:lineRule="exact"/>
        <w:rPr>
          <w:sz w:val="20"/>
          <w:szCs w:val="20"/>
          <w:color w:val="auto"/>
        </w:rPr>
      </w:pPr>
    </w:p>
    <w:p>
      <w:pPr>
        <w:ind w:left="280" w:right="339"/>
        <w:spacing w:after="0" w:line="255" w:lineRule="auto"/>
        <w:rPr>
          <w:sz w:val="20"/>
          <w:szCs w:val="20"/>
          <w:color w:val="auto"/>
        </w:rPr>
      </w:pPr>
      <w:r>
        <w:rPr>
          <w:rFonts w:ascii="Times New Roman" w:cs="Times New Roman" w:eastAsia="Times New Roman" w:hAnsi="Times New Roman"/>
          <w:sz w:val="14"/>
          <w:szCs w:val="14"/>
          <w:color w:val="auto"/>
        </w:rPr>
        <w:t>Our opinion herein is expressed solely with respect to the General Corporation Law of the State of Delaware and, as to the Debt Securities and the Warrants constituting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10265 Science Center Drive San Diego, CA 92121-1117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+1 858 550 6000 f: +1 858 550-6420 cooley.com</w:t>
      </w:r>
    </w:p>
    <w:p>
      <w:pPr>
        <w:sectPr>
          <w:pgSz w:w="11900" w:h="16838" w:orient="portrait"/>
          <w:cols w:equalWidth="0" w:num="1">
            <w:col w:w="9019"/>
          </w:cols>
          <w:pgMar w:left="1440" w:top="861" w:right="1440" w:bottom="1440" w:gutter="0" w:footer="0" w:header="0"/>
        </w:sectPr>
      </w:pPr>
    </w:p>
    <w:bookmarkStart w:id="46" w:name="page47"/>
    <w:bookmarkEnd w:id="46"/>
    <w:p>
      <w:pPr>
        <w:ind w:left="2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202805" cy="32385"/>
                    </a:xfrm>
                    <a:prstGeom prst="rect">
                      <a:avLst/>
                    </a:prstGeom>
                    <a:noFill/>
                  </pic:spPr>
                </pic:pic>
              </a:graphicData>
            </a:graphic>
          </wp:anchor>
        </w:drawing>
        <w:drawing>
          <wp:anchor simplePos="0" relativeHeight="251657728" behindDoc="1" locked="0" layoutInCell="0" allowOverlap="1">
            <wp:simplePos x="0" y="0"/>
            <wp:positionH relativeFrom="page">
              <wp:posOffset>1098550</wp:posOffset>
            </wp:positionH>
            <wp:positionV relativeFrom="page">
              <wp:posOffset>161290</wp:posOffset>
            </wp:positionV>
            <wp:extent cx="892810" cy="288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892810" cy="288925"/>
                    </a:xfrm>
                    <a:prstGeom prst="rect">
                      <a:avLst/>
                    </a:prstGeom>
                    <a:noFill/>
                  </pic:spPr>
                </pic:pic>
              </a:graphicData>
            </a:graphic>
          </wp:anchor>
        </w:drawing>
        <w:t>Design Therapeutics, Inc.</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November 4, 2026</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Page Three</w:t>
      </w:r>
    </w:p>
    <w:p>
      <w:pPr>
        <w:spacing w:after="0" w:line="105" w:lineRule="exact"/>
        <w:rPr>
          <w:sz w:val="20"/>
          <w:szCs w:val="20"/>
          <w:color w:val="auto"/>
        </w:rPr>
      </w:pPr>
    </w:p>
    <w:p>
      <w:pPr>
        <w:ind w:left="280" w:right="319"/>
        <w:spacing w:after="0" w:line="273" w:lineRule="auto"/>
        <w:rPr>
          <w:sz w:val="20"/>
          <w:szCs w:val="20"/>
          <w:color w:val="auto"/>
        </w:rPr>
      </w:pPr>
      <w:r>
        <w:rPr>
          <w:rFonts w:ascii="Times New Roman" w:cs="Times New Roman" w:eastAsia="Times New Roman" w:hAnsi="Times New Roman"/>
          <w:sz w:val="14"/>
          <w:szCs w:val="14"/>
          <w:color w:val="auto"/>
        </w:rPr>
        <w:t>On the basis of the foregoing, in reliance thereon and subject to the assumptions, exceptions, limitations and qualifications set forth herein, we are of the opinion that:</w:t>
      </w:r>
    </w:p>
    <w:p>
      <w:pPr>
        <w:spacing w:after="0" w:line="47" w:lineRule="exact"/>
        <w:rPr>
          <w:sz w:val="20"/>
          <w:szCs w:val="20"/>
          <w:color w:val="auto"/>
        </w:rPr>
      </w:pPr>
    </w:p>
    <w:p>
      <w:pPr>
        <w:ind w:left="280" w:right="339" w:firstLine="342"/>
        <w:spacing w:after="0" w:line="249" w:lineRule="auto"/>
        <w:tabs>
          <w:tab w:leader="none" w:pos="755"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the Common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issuance of the Common Stock has been duly authorized by all necessary corporate action on the part of the Company; (c) the issuance and sale of the Common Stock do not violate any applicable law, are in conformity with the Company’s then operative certificate of incorporation (the “</w:t>
      </w:r>
      <w:r>
        <w:rPr>
          <w:rFonts w:ascii="Times New Roman" w:cs="Times New Roman" w:eastAsia="Times New Roman" w:hAnsi="Times New Roman"/>
          <w:sz w:val="14"/>
          <w:szCs w:val="14"/>
          <w:b w:val="1"/>
          <w:bCs w:val="1"/>
          <w:i w:val="1"/>
          <w:iCs w:val="1"/>
          <w:color w:val="auto"/>
        </w:rPr>
        <w:t>Certificate of Incorporation</w:t>
      </w:r>
      <w:r>
        <w:rPr>
          <w:rFonts w:ascii="Times New Roman" w:cs="Times New Roman" w:eastAsia="Times New Roman" w:hAnsi="Times New Roman"/>
          <w:sz w:val="14"/>
          <w:szCs w:val="14"/>
          <w:color w:val="auto"/>
        </w:rPr>
        <w:t>”) and bylaws (the “</w:t>
      </w:r>
      <w:r>
        <w:rPr>
          <w:rFonts w:ascii="Times New Roman" w:cs="Times New Roman" w:eastAsia="Times New Roman" w:hAnsi="Times New Roman"/>
          <w:sz w:val="14"/>
          <w:szCs w:val="14"/>
          <w:b w:val="1"/>
          <w:bCs w:val="1"/>
          <w:i w:val="1"/>
          <w:iCs w:val="1"/>
          <w:color w:val="auto"/>
        </w:rPr>
        <w:t>Bylaws</w:t>
      </w:r>
      <w:r>
        <w:rPr>
          <w:rFonts w:ascii="Times New Roman" w:cs="Times New Roman" w:eastAsia="Times New Roman" w:hAnsi="Times New Roman"/>
          <w:sz w:val="14"/>
          <w:szCs w:val="14"/>
          <w:color w:val="auto"/>
        </w:rPr>
        <w:t>”), do not result in a default under or breach of any agreement or instrument binding upon the Company and comply with any applicable requirement or restriction imposed by any court or governmental body having jurisdiction over the Company; and (d) the certificates, if any, for the Common Stock have been duly executed by the Company, countersigned by the transfer agent therefor and duly delivered to the purchasers thereof against payment therefor, then the Common Stock, when issued and sold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spacing w:after="0" w:line="148" w:lineRule="exact"/>
        <w:rPr>
          <w:rFonts w:ascii="Times New Roman" w:cs="Times New Roman" w:eastAsia="Times New Roman" w:hAnsi="Times New Roman"/>
          <w:sz w:val="14"/>
          <w:szCs w:val="14"/>
          <w:b w:val="1"/>
          <w:bCs w:val="1"/>
          <w:color w:val="auto"/>
        </w:rPr>
      </w:pPr>
    </w:p>
    <w:p>
      <w:pPr>
        <w:ind w:left="280" w:right="319" w:firstLine="342"/>
        <w:spacing w:after="0" w:line="249" w:lineRule="auto"/>
        <w:tabs>
          <w:tab w:leader="none" w:pos="755"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the Preferred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terms and issuance of the Preferred Stock have been duly authorized by all necessary corporate action on the part of the Company; (c)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(d)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pacing w:after="0" w:line="148" w:lineRule="exact"/>
        <w:rPr>
          <w:rFonts w:ascii="Times New Roman" w:cs="Times New Roman" w:eastAsia="Times New Roman" w:hAnsi="Times New Roman"/>
          <w:sz w:val="14"/>
          <w:szCs w:val="14"/>
          <w:b w:val="1"/>
          <w:bCs w:val="1"/>
          <w:color w:val="auto"/>
        </w:rPr>
      </w:pPr>
    </w:p>
    <w:p>
      <w:pPr>
        <w:jc w:val="both"/>
        <w:ind w:left="280" w:right="399" w:firstLine="342"/>
        <w:spacing w:after="0" w:line="255" w:lineRule="auto"/>
        <w:tabs>
          <w:tab w:leader="none" w:pos="755"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any series of the Debt Securities issued under the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10265 Science Center Drive San Diego, CA 92121-1117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+1 858 550 6000 f: +1 858 550-6420 cooley.com</w:t>
      </w:r>
    </w:p>
    <w:p>
      <w:pPr>
        <w:sectPr>
          <w:pgSz w:w="11900" w:h="16838" w:orient="portrait"/>
          <w:cols w:equalWidth="0" w:num="1">
            <w:col w:w="9019"/>
          </w:cols>
          <w:pgMar w:left="1440" w:top="861" w:right="1440" w:bottom="1440" w:gutter="0" w:footer="0" w:header="0"/>
        </w:sectPr>
      </w:pPr>
    </w:p>
    <w:bookmarkStart w:id="47" w:name="page48"/>
    <w:bookmarkEnd w:id="47"/>
    <w:p>
      <w:pPr>
        <w:ind w:left="2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202805" cy="32385"/>
                    </a:xfrm>
                    <a:prstGeom prst="rect">
                      <a:avLst/>
                    </a:prstGeom>
                    <a:noFill/>
                  </pic:spPr>
                </pic:pic>
              </a:graphicData>
            </a:graphic>
          </wp:anchor>
        </w:drawing>
        <w:drawing>
          <wp:anchor simplePos="0" relativeHeight="251657728" behindDoc="1" locked="0" layoutInCell="0" allowOverlap="1">
            <wp:simplePos x="0" y="0"/>
            <wp:positionH relativeFrom="page">
              <wp:posOffset>1098550</wp:posOffset>
            </wp:positionH>
            <wp:positionV relativeFrom="page">
              <wp:posOffset>161290</wp:posOffset>
            </wp:positionV>
            <wp:extent cx="892810" cy="288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892810" cy="288925"/>
                    </a:xfrm>
                    <a:prstGeom prst="rect">
                      <a:avLst/>
                    </a:prstGeom>
                    <a:noFill/>
                  </pic:spPr>
                </pic:pic>
              </a:graphicData>
            </a:graphic>
          </wp:anchor>
        </w:drawing>
        <w:t>Design Therapeutics, Inc.</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November 4, 2026</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Page Four</w:t>
      </w:r>
    </w:p>
    <w:p>
      <w:pPr>
        <w:spacing w:after="0" w:line="105" w:lineRule="exact"/>
        <w:rPr>
          <w:sz w:val="20"/>
          <w:szCs w:val="20"/>
          <w:color w:val="auto"/>
        </w:rPr>
      </w:pPr>
    </w:p>
    <w:p>
      <w:pPr>
        <w:ind w:left="280" w:right="359"/>
        <w:spacing w:after="0" w:line="249" w:lineRule="auto"/>
        <w:rPr>
          <w:sz w:val="20"/>
          <w:szCs w:val="20"/>
          <w:color w:val="auto"/>
        </w:rPr>
      </w:pPr>
      <w:r>
        <w:rPr>
          <w:rFonts w:ascii="Times New Roman" w:cs="Times New Roman" w:eastAsia="Times New Roman" w:hAnsi="Times New Roman"/>
          <w:sz w:val="14"/>
          <w:szCs w:val="14"/>
          <w:color w:val="auto"/>
        </w:rPr>
        <w:t>authorized by the Company and the Trustee by all necessary corporate action; (c) the Indenture has been duly executed and delivered by the Company and the Trustee and has been qualified under the Trust Indenture Act of 1939, as amended; (d) the terms of the Debt Securities and their issuance and sale have been duly authorized by the Company by all necessary corporate action; (e) the terms of the Debt Securities and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48" w:lineRule="exact"/>
        <w:rPr>
          <w:sz w:val="20"/>
          <w:szCs w:val="20"/>
          <w:color w:val="auto"/>
        </w:rPr>
      </w:pPr>
    </w:p>
    <w:p>
      <w:pPr>
        <w:ind w:left="760" w:hanging="138"/>
        <w:spacing w:after="0"/>
        <w:tabs>
          <w:tab w:leader="none" w:pos="760"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the Warrants issued under the Warrant Agreements and offered under the Registration Statement, provided that (a) the</w:t>
      </w:r>
    </w:p>
    <w:p>
      <w:pPr>
        <w:spacing w:after="0" w:line="17" w:lineRule="exact"/>
        <w:rPr>
          <w:rFonts w:ascii="Times New Roman" w:cs="Times New Roman" w:eastAsia="Times New Roman" w:hAnsi="Times New Roman"/>
          <w:sz w:val="14"/>
          <w:szCs w:val="14"/>
          <w:b w:val="1"/>
          <w:bCs w:val="1"/>
          <w:color w:val="auto"/>
        </w:rPr>
      </w:pPr>
    </w:p>
    <w:p>
      <w:pPr>
        <w:ind w:left="280" w:right="299"/>
        <w:spacing w:after="0" w:line="24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Warrants have been duly authorized by the Company by all necessary corporate action; (e)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4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p>
      <w:pPr>
        <w:spacing w:after="0" w:line="12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Cooley LLP 10265 Science Center Drive San Diego, CA 92121-1117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+1 858 550 6000 f: +1 858 550-6420 cooley.com</w:t>
      </w:r>
    </w:p>
    <w:p>
      <w:pPr>
        <w:sectPr>
          <w:pgSz w:w="11900" w:h="16838" w:orient="portrait"/>
          <w:cols w:equalWidth="0" w:num="1">
            <w:col w:w="9019"/>
          </w:cols>
          <w:pgMar w:left="1440" w:top="861" w:right="1440" w:bottom="1440" w:gutter="0" w:footer="0" w:header="0"/>
        </w:sectPr>
      </w:pPr>
    </w:p>
    <w:bookmarkStart w:id="48" w:name="page49"/>
    <w:bookmarkEnd w:id="48"/>
    <w:p>
      <w:pPr>
        <w:ind w:left="2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202805" cy="32385"/>
                    </a:xfrm>
                    <a:prstGeom prst="rect">
                      <a:avLst/>
                    </a:prstGeom>
                    <a:noFill/>
                  </pic:spPr>
                </pic:pic>
              </a:graphicData>
            </a:graphic>
          </wp:anchor>
        </w:drawing>
        <w:drawing>
          <wp:anchor simplePos="0" relativeHeight="251657728" behindDoc="1" locked="0" layoutInCell="0" allowOverlap="1">
            <wp:simplePos x="0" y="0"/>
            <wp:positionH relativeFrom="page">
              <wp:posOffset>1098550</wp:posOffset>
            </wp:positionH>
            <wp:positionV relativeFrom="page">
              <wp:posOffset>161290</wp:posOffset>
            </wp:positionV>
            <wp:extent cx="892810" cy="288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892810" cy="288925"/>
                    </a:xfrm>
                    <a:prstGeom prst="rect">
                      <a:avLst/>
                    </a:prstGeom>
                    <a:noFill/>
                  </pic:spPr>
                </pic:pic>
              </a:graphicData>
            </a:graphic>
          </wp:anchor>
        </w:drawing>
        <w:t>Design Therapeutics, Inc.</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November 4, 2026</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Page Five</w:t>
      </w:r>
    </w:p>
    <w:p>
      <w:pPr>
        <w:spacing w:after="0" w:line="177" w:lineRule="exact"/>
        <w:rPr>
          <w:sz w:val="20"/>
          <w:szCs w:val="20"/>
          <w:color w:val="auto"/>
        </w:rPr>
      </w:pPr>
    </w:p>
    <w:p>
      <w:pPr>
        <w:ind w:left="280" w:right="339"/>
        <w:spacing w:after="0" w:line="255" w:lineRule="auto"/>
        <w:rPr>
          <w:sz w:val="20"/>
          <w:szCs w:val="20"/>
          <w:color w:val="auto"/>
        </w:rPr>
      </w:pPr>
      <w:r>
        <w:rPr>
          <w:rFonts w:ascii="Times New Roman" w:cs="Times New Roman" w:eastAsia="Times New Roman" w:hAnsi="Times New Roman"/>
          <w:sz w:val="14"/>
          <w:szCs w:val="14"/>
          <w:color w:val="auto"/>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43" w:lineRule="exact"/>
        <w:rPr>
          <w:sz w:val="20"/>
          <w:szCs w:val="20"/>
          <w:color w:val="auto"/>
        </w:rPr>
      </w:pPr>
    </w:p>
    <w:p>
      <w:pPr>
        <w:ind w:left="280" w:right="439"/>
        <w:spacing w:after="0" w:line="255"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 to our firm under the caption “Legal Matters” in the Base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Sincerely,</w:t>
      </w:r>
    </w:p>
    <w:p>
      <w:pPr>
        <w:spacing w:after="0" w:line="2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Cooley LLP</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Asa M. Henin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13335</wp:posOffset>
            </wp:positionV>
            <wp:extent cx="196342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1963420" cy="6350"/>
                    </a:xfrm>
                    <a:prstGeom prst="rect">
                      <a:avLst/>
                    </a:prstGeom>
                    <a:noFill/>
                  </pic:spPr>
                </pic:pic>
              </a:graphicData>
            </a:graphic>
          </wp:anchor>
        </w:drawing>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Asa M. Henin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10265 Science Center Drive San Diego, CA 92121-1117</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+1 858 550 6000 f: +1 858 550-6420 cooley.com</w:t>
      </w:r>
    </w:p>
    <w:p>
      <w:pPr>
        <w:sectPr>
          <w:pgSz w:w="11900" w:h="16838" w:orient="portrait"/>
          <w:cols w:equalWidth="0" w:num="1">
            <w:col w:w="9019"/>
          </w:cols>
          <w:pgMar w:left="1440" w:top="861" w:right="1440" w:bottom="1440" w:gutter="0" w:footer="0" w:header="0"/>
        </w:sectPr>
      </w:pPr>
    </w:p>
    <w:bookmarkStart w:id="49" w:name="page50"/>
    <w:bookmarkEnd w:id="49"/>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4" w:lineRule="exact"/>
        <w:rPr>
          <w:sz w:val="20"/>
          <w:szCs w:val="20"/>
          <w:color w:val="auto"/>
        </w:rPr>
      </w:pPr>
    </w:p>
    <w:p>
      <w:pPr>
        <w:ind w:left="280" w:right="379"/>
        <w:spacing w:after="0" w:line="255"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Design Therapeutics, Inc. for the registration of shares of its common stock, preferred stock, debt securities, and warrants and to the incorporation by reference therein of our report dated March 9, 2026, with respect to the financial statements of Design Therapeutics, Inc. included in its Annual Report (Form 10-K) for the year ended December 31, 2025, filed with the Securities and Exchange Commission.</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San Diego, California</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November 4, 2026</w:t>
      </w:r>
    </w:p>
    <w:p>
      <w:pPr>
        <w:sectPr>
          <w:pgSz w:w="11900" w:h="16838" w:orient="portrait"/>
          <w:cols w:equalWidth="0" w:num="1">
            <w:col w:w="9019"/>
          </w:cols>
          <w:pgMar w:left="1440" w:top="123" w:right="1440" w:bottom="1440" w:gutter="0" w:footer="0" w:header="0"/>
        </w:sectPr>
      </w:pPr>
    </w:p>
    <w:bookmarkStart w:id="50" w:name="page51"/>
    <w:bookmarkEnd w:id="50"/>
    <w:p>
      <w:pPr>
        <w:spacing w:after="0" w:line="73" w:lineRule="exact"/>
        <w:rPr>
          <w:sz w:val="20"/>
          <w:szCs w:val="20"/>
          <w:color w:val="auto"/>
        </w:rPr>
      </w:pPr>
    </w:p>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4"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Design Therapeutics, Inc.</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50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8"/>
              </w:rPr>
              <w:t>Table 1: Newly Registered and Carry Forward Securities</w:t>
            </w:r>
          </w:p>
        </w:tc>
        <w:tc>
          <w:tcPr>
            <w:tcW w:w="8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Fee</w:t>
            </w:r>
          </w:p>
        </w:tc>
        <w:tc>
          <w:tcPr>
            <w:tcW w:w="90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1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Carry</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3"/>
        </w:trPr>
        <w:tc>
          <w:tcPr>
            <w:tcW w:w="1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Carry</w:t>
            </w:r>
          </w:p>
        </w:tc>
        <w:tc>
          <w:tcPr>
            <w:tcW w:w="7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Carry</w:t>
            </w:r>
          </w:p>
        </w:tc>
        <w:tc>
          <w:tcPr>
            <w:tcW w:w="740" w:type="dxa"/>
            <w:vAlign w:val="bottom"/>
            <w:vMerge w:val="continue"/>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66"/>
        </w:trPr>
        <w:tc>
          <w:tcPr>
            <w:tcW w:w="1840" w:type="dxa"/>
            <w:vAlign w:val="bottom"/>
            <w:vMerge w:val="restart"/>
          </w:tcPr>
          <w:p>
            <w:pPr>
              <w:jc w:val="center"/>
              <w:ind w:left="937"/>
              <w:spacing w:after="0"/>
              <w:rPr>
                <w:sz w:val="20"/>
                <w:szCs w:val="20"/>
                <w:color w:val="auto"/>
              </w:rPr>
            </w:pPr>
            <w:r>
              <w:rPr>
                <w:rFonts w:ascii="Arial" w:cs="Arial" w:eastAsia="Arial" w:hAnsi="Arial"/>
                <w:sz w:val="17"/>
                <w:szCs w:val="17"/>
                <w:b w:val="1"/>
                <w:bCs w:val="1"/>
                <w:color w:val="auto"/>
                <w:w w:val="98"/>
              </w:rPr>
              <w:t>Security</w:t>
            </w:r>
          </w:p>
        </w:tc>
        <w:tc>
          <w:tcPr>
            <w:tcW w:w="1760" w:type="dxa"/>
            <w:vAlign w:val="bottom"/>
            <w:gridSpan w:val="2"/>
          </w:tcPr>
          <w:p>
            <w:pPr>
              <w:ind w:left="100"/>
              <w:spacing w:after="0" w:line="166" w:lineRule="exact"/>
              <w:rPr>
                <w:sz w:val="20"/>
                <w:szCs w:val="20"/>
                <w:color w:val="auto"/>
              </w:rPr>
            </w:pPr>
            <w:r>
              <w:rPr>
                <w:rFonts w:ascii="Arial" w:cs="Arial" w:eastAsia="Arial" w:hAnsi="Arial"/>
                <w:sz w:val="17"/>
                <w:szCs w:val="17"/>
                <w:b w:val="1"/>
                <w:bCs w:val="1"/>
                <w:color w:val="auto"/>
              </w:rPr>
              <w:t>Security Calculation</w:t>
            </w:r>
          </w:p>
        </w:tc>
        <w:tc>
          <w:tcPr>
            <w:tcW w:w="9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Amount</w:t>
            </w:r>
          </w:p>
        </w:tc>
        <w:tc>
          <w:tcPr>
            <w:tcW w:w="820" w:type="dxa"/>
            <w:vAlign w:val="bottom"/>
          </w:tcPr>
          <w:p>
            <w:pPr>
              <w:jc w:val="center"/>
              <w:spacing w:after="0" w:line="166" w:lineRule="exact"/>
              <w:rPr>
                <w:sz w:val="20"/>
                <w:szCs w:val="20"/>
                <w:color w:val="auto"/>
              </w:rPr>
            </w:pPr>
            <w:r>
              <w:rPr>
                <w:rFonts w:ascii="Arial" w:cs="Arial" w:eastAsia="Arial" w:hAnsi="Arial"/>
                <w:sz w:val="17"/>
                <w:szCs w:val="17"/>
                <w:b w:val="1"/>
                <w:bCs w:val="1"/>
                <w:color w:val="auto"/>
                <w:w w:val="96"/>
              </w:rPr>
              <w:t>Maximum</w:t>
            </w:r>
          </w:p>
        </w:tc>
        <w:tc>
          <w:tcPr>
            <w:tcW w:w="1180" w:type="dxa"/>
            <w:vAlign w:val="bottom"/>
          </w:tcPr>
          <w:p>
            <w:pPr>
              <w:jc w:val="center"/>
              <w:spacing w:after="0" w:line="166" w:lineRule="exact"/>
              <w:rPr>
                <w:sz w:val="20"/>
                <w:szCs w:val="20"/>
                <w:color w:val="auto"/>
              </w:rPr>
            </w:pPr>
            <w:r>
              <w:rPr>
                <w:rFonts w:ascii="Arial" w:cs="Arial" w:eastAsia="Arial" w:hAnsi="Arial"/>
                <w:sz w:val="17"/>
                <w:szCs w:val="17"/>
                <w:b w:val="1"/>
                <w:bCs w:val="1"/>
                <w:color w:val="auto"/>
                <w:w w:val="96"/>
              </w:rPr>
              <w:t>Maximum</w:t>
            </w:r>
          </w:p>
        </w:tc>
        <w:tc>
          <w:tcPr>
            <w:tcW w:w="1760" w:type="dxa"/>
            <w:vAlign w:val="bottom"/>
          </w:tcPr>
          <w:p>
            <w:pPr>
              <w:jc w:val="center"/>
              <w:ind w:left="657"/>
              <w:spacing w:after="0" w:line="166" w:lineRule="exact"/>
              <w:rPr>
                <w:sz w:val="20"/>
                <w:szCs w:val="20"/>
                <w:color w:val="auto"/>
              </w:rPr>
            </w:pPr>
            <w:r>
              <w:rPr>
                <w:rFonts w:ascii="Arial" w:cs="Arial" w:eastAsia="Arial" w:hAnsi="Arial"/>
                <w:sz w:val="17"/>
                <w:szCs w:val="17"/>
                <w:b w:val="1"/>
                <w:bCs w:val="1"/>
                <w:color w:val="auto"/>
                <w:w w:val="96"/>
              </w:rPr>
              <w:t>Amount of</w:t>
            </w:r>
          </w:p>
        </w:tc>
        <w:tc>
          <w:tcPr>
            <w:tcW w:w="6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tcPr>
          <w:p>
            <w:pPr>
              <w:jc w:val="center"/>
              <w:spacing w:after="0" w:line="166" w:lineRule="exact"/>
              <w:rPr>
                <w:sz w:val="20"/>
                <w:szCs w:val="20"/>
                <w:color w:val="auto"/>
              </w:rPr>
            </w:pPr>
            <w:r>
              <w:rPr>
                <w:rFonts w:ascii="Arial" w:cs="Arial" w:eastAsia="Arial" w:hAnsi="Arial"/>
                <w:sz w:val="17"/>
                <w:szCs w:val="17"/>
                <w:b w:val="1"/>
                <w:bCs w:val="1"/>
                <w:color w:val="auto"/>
                <w:w w:val="98"/>
              </w:rPr>
              <w:t>Forward</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840" w:type="dxa"/>
            <w:vAlign w:val="bottom"/>
            <w:vMerge w:val="continue"/>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Class</w:t>
            </w:r>
          </w:p>
        </w:tc>
        <w:tc>
          <w:tcPr>
            <w:tcW w:w="9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9"/>
              </w:rPr>
              <w:t>or Carry</w:t>
            </w:r>
          </w:p>
        </w:tc>
        <w:tc>
          <w:tcPr>
            <w:tcW w:w="900" w:type="dxa"/>
            <w:vAlign w:val="bottom"/>
            <w:vMerge w:val="continue"/>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Offering</w:t>
            </w:r>
          </w:p>
        </w:tc>
        <w:tc>
          <w:tcPr>
            <w:tcW w:w="11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7"/>
              </w:rPr>
              <w:t>Aggregate</w:t>
            </w:r>
          </w:p>
        </w:tc>
        <w:tc>
          <w:tcPr>
            <w:tcW w:w="1760" w:type="dxa"/>
            <w:vAlign w:val="bottom"/>
            <w:vMerge w:val="restart"/>
          </w:tcPr>
          <w:p>
            <w:pPr>
              <w:ind w:left="20"/>
              <w:spacing w:after="0"/>
              <w:rPr>
                <w:sz w:val="20"/>
                <w:szCs w:val="20"/>
                <w:color w:val="auto"/>
              </w:rPr>
            </w:pPr>
            <w:r>
              <w:rPr>
                <w:rFonts w:ascii="Arial" w:cs="Arial" w:eastAsia="Arial" w:hAnsi="Arial"/>
                <w:sz w:val="17"/>
                <w:szCs w:val="17"/>
                <w:b w:val="1"/>
                <w:bCs w:val="1"/>
                <w:color w:val="auto"/>
                <w:w w:val="98"/>
              </w:rPr>
              <w:t>Fee Rate Registration</w:t>
            </w:r>
          </w:p>
        </w:tc>
        <w:tc>
          <w:tcPr>
            <w:tcW w:w="1400" w:type="dxa"/>
            <w:vAlign w:val="bottom"/>
            <w:gridSpan w:val="2"/>
          </w:tcPr>
          <w:p>
            <w:pPr>
              <w:ind w:left="20"/>
              <w:spacing w:after="0" w:line="114" w:lineRule="exact"/>
              <w:rPr>
                <w:sz w:val="20"/>
                <w:szCs w:val="20"/>
                <w:color w:val="auto"/>
              </w:rPr>
            </w:pPr>
            <w:r>
              <w:rPr>
                <w:rFonts w:ascii="Arial" w:cs="Arial" w:eastAsia="Arial" w:hAnsi="Arial"/>
                <w:sz w:val="13"/>
                <w:szCs w:val="13"/>
                <w:b w:val="1"/>
                <w:bCs w:val="1"/>
                <w:color w:val="auto"/>
              </w:rPr>
              <w:t>Forward Forward</w:t>
            </w:r>
          </w:p>
        </w:tc>
        <w:tc>
          <w:tcPr>
            <w:tcW w:w="7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Initial</w:t>
            </w:r>
          </w:p>
        </w:tc>
        <w:tc>
          <w:tcPr>
            <w:tcW w:w="96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6"/>
        </w:trPr>
        <w:tc>
          <w:tcPr>
            <w:tcW w:w="1840" w:type="dxa"/>
            <w:vAlign w:val="bottom"/>
          </w:tcPr>
          <w:p>
            <w:pPr>
              <w:jc w:val="center"/>
              <w:ind w:left="937"/>
              <w:spacing w:after="0" w:line="166" w:lineRule="exact"/>
              <w:rPr>
                <w:sz w:val="20"/>
                <w:szCs w:val="20"/>
                <w:color w:val="auto"/>
              </w:rPr>
            </w:pPr>
            <w:r>
              <w:rPr>
                <w:rFonts w:ascii="Arial" w:cs="Arial" w:eastAsia="Arial" w:hAnsi="Arial"/>
                <w:sz w:val="17"/>
                <w:szCs w:val="17"/>
                <w:b w:val="1"/>
                <w:bCs w:val="1"/>
                <w:color w:val="auto"/>
                <w:w w:val="95"/>
              </w:rPr>
              <w:t>Type</w:t>
            </w: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jc w:val="center"/>
              <w:spacing w:after="0" w:line="166" w:lineRule="exact"/>
              <w:rPr>
                <w:sz w:val="20"/>
                <w:szCs w:val="20"/>
                <w:color w:val="auto"/>
              </w:rPr>
            </w:pPr>
            <w:r>
              <w:rPr>
                <w:rFonts w:ascii="Arial" w:cs="Arial" w:eastAsia="Arial" w:hAnsi="Arial"/>
                <w:sz w:val="17"/>
                <w:szCs w:val="17"/>
                <w:b w:val="1"/>
                <w:bCs w:val="1"/>
                <w:color w:val="auto"/>
                <w:w w:val="97"/>
              </w:rPr>
              <w:t>Registered</w:t>
            </w:r>
          </w:p>
        </w:tc>
        <w:tc>
          <w:tcPr>
            <w:tcW w:w="8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660" w:type="dxa"/>
            <w:vAlign w:val="bottom"/>
          </w:tcPr>
          <w:p>
            <w:pPr>
              <w:jc w:val="center"/>
              <w:spacing w:after="0" w:line="166" w:lineRule="exact"/>
              <w:rPr>
                <w:sz w:val="20"/>
                <w:szCs w:val="20"/>
                <w:color w:val="auto"/>
              </w:rPr>
            </w:pPr>
            <w:r>
              <w:rPr>
                <w:rFonts w:ascii="Arial" w:cs="Arial" w:eastAsia="Arial" w:hAnsi="Arial"/>
                <w:sz w:val="17"/>
                <w:szCs w:val="17"/>
                <w:b w:val="1"/>
                <w:bCs w:val="1"/>
                <w:color w:val="auto"/>
                <w:w w:val="98"/>
              </w:rPr>
              <w:t>Form</w:t>
            </w:r>
          </w:p>
        </w:tc>
        <w:tc>
          <w:tcPr>
            <w:tcW w:w="740" w:type="dxa"/>
            <w:vAlign w:val="bottom"/>
          </w:tcPr>
          <w:p>
            <w:pPr>
              <w:jc w:val="center"/>
              <w:spacing w:after="0" w:line="166" w:lineRule="exact"/>
              <w:rPr>
                <w:sz w:val="20"/>
                <w:szCs w:val="20"/>
                <w:color w:val="auto"/>
              </w:rPr>
            </w:pPr>
            <w:r>
              <w:rPr>
                <w:rFonts w:ascii="Arial" w:cs="Arial" w:eastAsia="Arial" w:hAnsi="Arial"/>
                <w:sz w:val="17"/>
                <w:szCs w:val="17"/>
                <w:b w:val="1"/>
                <w:bCs w:val="1"/>
                <w:color w:val="auto"/>
              </w:rPr>
              <w:t>File</w:t>
            </w:r>
          </w:p>
        </w:tc>
        <w:tc>
          <w:tcPr>
            <w:tcW w:w="740" w:type="dxa"/>
            <w:vAlign w:val="bottom"/>
            <w:vMerge w:val="continue"/>
          </w:tcPr>
          <w:p>
            <w:pPr>
              <w:spacing w:after="0"/>
              <w:rPr>
                <w:sz w:val="14"/>
                <w:szCs w:val="14"/>
                <w:color w:val="auto"/>
              </w:rPr>
            </w:pPr>
          </w:p>
        </w:tc>
        <w:tc>
          <w:tcPr>
            <w:tcW w:w="960" w:type="dxa"/>
            <w:vAlign w:val="bottom"/>
          </w:tcPr>
          <w:p>
            <w:pPr>
              <w:jc w:val="center"/>
              <w:spacing w:after="0" w:line="166"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80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Title</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900" w:type="dxa"/>
            <w:vAlign w:val="bottom"/>
          </w:tcPr>
          <w:p>
            <w:pPr>
              <w:spacing w:after="0"/>
              <w:rPr>
                <w:sz w:val="16"/>
                <w:szCs w:val="16"/>
                <w:color w:val="auto"/>
              </w:rPr>
            </w:pPr>
          </w:p>
        </w:tc>
        <w:tc>
          <w:tcPr>
            <w:tcW w:w="82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Price Per</w:t>
            </w:r>
          </w:p>
        </w:tc>
        <w:tc>
          <w:tcPr>
            <w:tcW w:w="118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Offering Price</w:t>
            </w:r>
          </w:p>
        </w:tc>
        <w:tc>
          <w:tcPr>
            <w:tcW w:w="1760" w:type="dxa"/>
            <w:vAlign w:val="bottom"/>
          </w:tcPr>
          <w:p>
            <w:pPr>
              <w:jc w:val="center"/>
              <w:ind w:left="657"/>
              <w:spacing w:after="0" w:line="186" w:lineRule="exact"/>
              <w:rPr>
                <w:sz w:val="20"/>
                <w:szCs w:val="20"/>
                <w:color w:val="auto"/>
              </w:rPr>
            </w:pPr>
            <w:r>
              <w:rPr>
                <w:rFonts w:ascii="Arial" w:cs="Arial" w:eastAsia="Arial" w:hAnsi="Arial"/>
                <w:sz w:val="17"/>
                <w:szCs w:val="17"/>
                <w:b w:val="1"/>
                <w:bCs w:val="1"/>
                <w:color w:val="auto"/>
              </w:rPr>
              <w:t>Fee</w:t>
            </w:r>
          </w:p>
        </w:tc>
        <w:tc>
          <w:tcPr>
            <w:tcW w:w="6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5"/>
              </w:rPr>
              <w:t>Type</w:t>
            </w:r>
          </w:p>
        </w:tc>
        <w:tc>
          <w:tcPr>
            <w:tcW w:w="74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Number</w:t>
            </w:r>
          </w:p>
        </w:tc>
        <w:tc>
          <w:tcPr>
            <w:tcW w:w="74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8"/>
              </w:rPr>
              <w:t>Effective</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36"/>
        </w:trPr>
        <w:tc>
          <w:tcPr>
            <w:tcW w:w="1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Rule</w:t>
            </w:r>
          </w:p>
        </w:tc>
        <w:tc>
          <w:tcPr>
            <w:tcW w:w="900" w:type="dxa"/>
            <w:vAlign w:val="bottom"/>
          </w:tcPr>
          <w:p>
            <w:pPr>
              <w:spacing w:after="0"/>
              <w:rPr>
                <w:sz w:val="3"/>
                <w:szCs w:val="3"/>
                <w:color w:val="auto"/>
              </w:rPr>
            </w:pPr>
          </w:p>
        </w:tc>
        <w:tc>
          <w:tcPr>
            <w:tcW w:w="8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Unit</w:t>
            </w:r>
          </w:p>
        </w:tc>
        <w:tc>
          <w:tcPr>
            <w:tcW w:w="1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Date</w:t>
            </w: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-852805</wp:posOffset>
            </wp:positionV>
            <wp:extent cx="7214870" cy="50101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214870" cy="5010150"/>
                    </a:xfrm>
                    <a:prstGeom prst="rect">
                      <a:avLst/>
                    </a:prstGeom>
                    <a:noFill/>
                  </pic:spPr>
                </pic:pic>
              </a:graphicData>
            </a:graphic>
          </wp:anchor>
        </w:drawing>
      </w:r>
    </w:p>
    <w:p>
      <w:pPr>
        <w:jc w:val="center"/>
        <w:ind w:left="10440"/>
        <w:spacing w:after="0" w:line="228" w:lineRule="auto"/>
        <w:rPr>
          <w:sz w:val="20"/>
          <w:szCs w:val="20"/>
          <w:color w:val="auto"/>
        </w:rPr>
      </w:pPr>
      <w:r>
        <w:rPr>
          <w:rFonts w:ascii="Arial" w:cs="Arial" w:eastAsia="Arial" w:hAnsi="Arial"/>
          <w:sz w:val="17"/>
          <w:szCs w:val="17"/>
          <w:b w:val="1"/>
          <w:bCs w:val="1"/>
          <w:color w:val="auto"/>
        </w:rPr>
        <w:t>to be</w:t>
      </w:r>
    </w:p>
    <w:p>
      <w:pPr>
        <w:jc w:val="center"/>
        <w:ind w:left="10440"/>
        <w:spacing w:after="0" w:line="229" w:lineRule="auto"/>
        <w:rPr>
          <w:sz w:val="20"/>
          <w:szCs w:val="20"/>
          <w:color w:val="auto"/>
        </w:rPr>
      </w:pPr>
      <w:r>
        <w:rPr>
          <w:rFonts w:ascii="Arial" w:cs="Arial" w:eastAsia="Arial" w:hAnsi="Arial"/>
          <w:sz w:val="17"/>
          <w:szCs w:val="17"/>
          <w:b w:val="1"/>
          <w:bCs w:val="1"/>
          <w:color w:val="auto"/>
        </w:rPr>
        <w:t>Carried</w:t>
      </w:r>
    </w:p>
    <w:p>
      <w:pPr>
        <w:jc w:val="center"/>
        <w:ind w:left="10440"/>
        <w:spacing w:after="0"/>
        <w:rPr>
          <w:sz w:val="20"/>
          <w:szCs w:val="20"/>
          <w:color w:val="auto"/>
        </w:rPr>
      </w:pPr>
      <w:r>
        <w:rPr>
          <w:rFonts w:ascii="Arial" w:cs="Arial" w:eastAsia="Arial" w:hAnsi="Arial"/>
          <w:sz w:val="17"/>
          <w:szCs w:val="17"/>
          <w:b w:val="1"/>
          <w:bCs w:val="1"/>
          <w:color w:val="auto"/>
        </w:rPr>
        <w:t>Forward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Newly Registered Securities</w:t>
      </w:r>
    </w:p>
    <w:p>
      <w:pPr>
        <w:spacing w:after="0" w:line="3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Common</w:t>
      </w:r>
    </w:p>
    <w:p>
      <w:pPr>
        <w:ind w:left="1900"/>
        <w:spacing w:after="0" w:line="236" w:lineRule="auto"/>
        <w:rPr>
          <w:sz w:val="20"/>
          <w:szCs w:val="20"/>
          <w:color w:val="auto"/>
        </w:rPr>
      </w:pPr>
      <w:r>
        <w:rPr>
          <w:rFonts w:ascii="Arial" w:cs="Arial" w:eastAsia="Arial" w:hAnsi="Arial"/>
          <w:sz w:val="17"/>
          <w:szCs w:val="17"/>
          <w:color w:val="auto"/>
        </w:rPr>
        <w:t>stock, par</w:t>
      </w:r>
    </w:p>
    <w:p>
      <w:pPr>
        <w:ind w:left="1200"/>
        <w:spacing w:after="0"/>
        <w:tabs>
          <w:tab w:leader="none" w:pos="1880" w:val="left"/>
          <w:tab w:leader="none" w:pos="2880" w:val="left"/>
        </w:tabs>
        <w:rPr>
          <w:sz w:val="20"/>
          <w:szCs w:val="20"/>
          <w:color w:val="auto"/>
        </w:rPr>
      </w:pPr>
      <w:r>
        <w:rPr>
          <w:rFonts w:ascii="Arial" w:cs="Arial" w:eastAsia="Arial" w:hAnsi="Arial"/>
          <w:sz w:val="17"/>
          <w:szCs w:val="17"/>
          <w:color w:val="auto"/>
        </w:rPr>
        <w:t>Equity</w:t>
        <w:tab/>
        <w:t>value</w:t>
      </w:r>
      <w:r>
        <w:rPr>
          <w:sz w:val="20"/>
          <w:szCs w:val="20"/>
          <w:color w:val="auto"/>
        </w:rPr>
        <w:tab/>
      </w:r>
      <w:r>
        <w:rPr>
          <w:rFonts w:ascii="Arial" w:cs="Arial" w:eastAsia="Arial" w:hAnsi="Arial"/>
          <w:sz w:val="16"/>
          <w:szCs w:val="16"/>
          <w:color w:val="auto"/>
        </w:rPr>
        <w:t>457(o)</w:t>
      </w:r>
    </w:p>
    <w:p>
      <w:pPr>
        <w:ind w:left="1900"/>
        <w:spacing w:after="0" w:line="228" w:lineRule="auto"/>
        <w:rPr>
          <w:sz w:val="20"/>
          <w:szCs w:val="20"/>
          <w:color w:val="auto"/>
        </w:rPr>
      </w:pPr>
      <w:r>
        <w:rPr>
          <w:rFonts w:ascii="Arial" w:cs="Arial" w:eastAsia="Arial" w:hAnsi="Arial"/>
          <w:sz w:val="17"/>
          <w:szCs w:val="17"/>
          <w:color w:val="auto"/>
        </w:rPr>
        <w:t>$0.0001</w:t>
      </w:r>
    </w:p>
    <w:p>
      <w:pPr>
        <w:ind w:left="1900"/>
        <w:spacing w:after="0"/>
        <w:rPr>
          <w:sz w:val="20"/>
          <w:szCs w:val="20"/>
          <w:color w:val="auto"/>
        </w:rPr>
      </w:pPr>
      <w:r>
        <w:rPr>
          <w:rFonts w:ascii="Arial" w:cs="Arial" w:eastAsia="Arial" w:hAnsi="Arial"/>
          <w:sz w:val="17"/>
          <w:szCs w:val="17"/>
          <w:color w:val="auto"/>
        </w:rPr>
        <w:t>per share</w:t>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Preferred</w:t>
      </w:r>
    </w:p>
    <w:p>
      <w:pPr>
        <w:ind w:left="1900"/>
        <w:spacing w:after="0" w:line="236" w:lineRule="auto"/>
        <w:rPr>
          <w:sz w:val="20"/>
          <w:szCs w:val="20"/>
          <w:color w:val="auto"/>
        </w:rPr>
      </w:pPr>
      <w:r>
        <w:rPr>
          <w:rFonts w:ascii="Arial" w:cs="Arial" w:eastAsia="Arial" w:hAnsi="Arial"/>
          <w:sz w:val="17"/>
          <w:szCs w:val="17"/>
          <w:color w:val="auto"/>
        </w:rPr>
        <w:t>stock, par</w:t>
      </w:r>
    </w:p>
    <w:p>
      <w:pPr>
        <w:ind w:left="1200"/>
        <w:spacing w:after="0"/>
        <w:tabs>
          <w:tab w:leader="none" w:pos="1880" w:val="left"/>
          <w:tab w:leader="none" w:pos="2880" w:val="left"/>
        </w:tabs>
        <w:rPr>
          <w:sz w:val="20"/>
          <w:szCs w:val="20"/>
          <w:color w:val="auto"/>
        </w:rPr>
      </w:pPr>
      <w:r>
        <w:rPr>
          <w:rFonts w:ascii="Arial" w:cs="Arial" w:eastAsia="Arial" w:hAnsi="Arial"/>
          <w:sz w:val="17"/>
          <w:szCs w:val="17"/>
          <w:color w:val="auto"/>
        </w:rPr>
        <w:t>Equity</w:t>
        <w:tab/>
        <w:t>value</w:t>
      </w:r>
      <w:r>
        <w:rPr>
          <w:sz w:val="20"/>
          <w:szCs w:val="20"/>
          <w:color w:val="auto"/>
        </w:rPr>
        <w:tab/>
      </w:r>
      <w:r>
        <w:rPr>
          <w:rFonts w:ascii="Arial" w:cs="Arial" w:eastAsia="Arial" w:hAnsi="Arial"/>
          <w:sz w:val="16"/>
          <w:szCs w:val="16"/>
          <w:color w:val="auto"/>
        </w:rPr>
        <w:t>457(o)</w:t>
      </w:r>
    </w:p>
    <w:p>
      <w:pPr>
        <w:ind w:left="1900"/>
        <w:spacing w:after="0" w:line="228" w:lineRule="auto"/>
        <w:rPr>
          <w:sz w:val="20"/>
          <w:szCs w:val="20"/>
          <w:color w:val="auto"/>
        </w:rPr>
      </w:pPr>
      <w:r>
        <w:rPr>
          <w:rFonts w:ascii="Arial" w:cs="Arial" w:eastAsia="Arial" w:hAnsi="Arial"/>
          <w:sz w:val="17"/>
          <w:szCs w:val="17"/>
          <w:color w:val="auto"/>
        </w:rPr>
        <w:t>$0.0001</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per share</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9"/>
              </w:rPr>
              <w:t>Securities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w w:val="97"/>
              </w:rPr>
              <w:t>Unallocated</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(Universal)</w:t>
            </w: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$ 26,100.00</w:t>
            </w:r>
          </w:p>
        </w:tc>
        <w:tc>
          <w:tcPr>
            <w:tcW w:w="0" w:type="dxa"/>
            <w:vAlign w:val="bottom"/>
          </w:tcPr>
          <w:p>
            <w:pPr>
              <w:spacing w:after="0"/>
              <w:rPr>
                <w:sz w:val="1"/>
                <w:szCs w:val="1"/>
                <w:color w:val="auto"/>
              </w:rPr>
            </w:pPr>
          </w:p>
        </w:tc>
      </w:tr>
      <w:tr>
        <w:trPr>
          <w:trHeight w:val="166"/>
        </w:trPr>
        <w:tc>
          <w:tcPr>
            <w:tcW w:w="780" w:type="dxa"/>
            <w:vAlign w:val="bottom"/>
            <w:shd w:val="clear" w:color="auto" w:fill="E7E7E2"/>
          </w:tcPr>
          <w:p>
            <w:pPr>
              <w:spacing w:after="0" w:line="166"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6" w:lineRule="exact"/>
              <w:rPr>
                <w:sz w:val="20"/>
                <w:szCs w:val="20"/>
                <w:color w:val="auto"/>
              </w:rPr>
            </w:pPr>
            <w:r>
              <w:rPr>
                <w:rFonts w:ascii="Arial" w:cs="Arial" w:eastAsia="Arial" w:hAnsi="Arial"/>
                <w:sz w:val="17"/>
                <w:szCs w:val="17"/>
                <w:color w:val="auto"/>
                <w:w w:val="96"/>
              </w:rPr>
              <w:t>300,000,000.00</w:t>
            </w: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line="145"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right"/>
              <w:ind w:right="497"/>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78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auto"/>
                <w:w w:val="99"/>
              </w:rPr>
              <w:t>Total Offering Amounts:</w:t>
            </w:r>
          </w:p>
        </w:tc>
        <w:tc>
          <w:tcPr>
            <w:tcW w:w="20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$ 26,100.00</w:t>
            </w:r>
          </w:p>
        </w:tc>
        <w:tc>
          <w:tcPr>
            <w:tcW w:w="0" w:type="dxa"/>
            <w:vAlign w:val="bottom"/>
          </w:tcPr>
          <w:p>
            <w:pPr>
              <w:spacing w:after="0"/>
              <w:rPr>
                <w:sz w:val="1"/>
                <w:szCs w:val="1"/>
                <w:color w:val="auto"/>
              </w:rPr>
            </w:pPr>
          </w:p>
        </w:tc>
      </w:tr>
      <w:tr>
        <w:trPr>
          <w:trHeight w:val="218"/>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7"/>
                <w:szCs w:val="17"/>
                <w:color w:val="auto"/>
              </w:rPr>
              <w:t>300,000,000.00</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5"/>
          </w:tcPr>
          <w:p>
            <w:pPr>
              <w:jc w:val="right"/>
              <w:ind w:right="20"/>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$ 26,100.00</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4" w:lineRule="exact"/>
        <w:rPr>
          <w:sz w:val="20"/>
          <w:szCs w:val="20"/>
          <w:color w:val="auto"/>
        </w:rPr>
      </w:pPr>
    </w:p>
    <w:p>
      <w:pPr>
        <w:ind w:left="200" w:right="100" w:hanging="166"/>
        <w:spacing w:after="0" w:line="241" w:lineRule="auto"/>
        <w:tabs>
          <w:tab w:leader="none" w:pos="200" w:val="left"/>
        </w:tabs>
        <w:numPr>
          <w:ilvl w:val="0"/>
          <w:numId w:val="41"/>
        </w:numPr>
        <w:rPr>
          <w:rFonts w:ascii="Arial" w:cs="Arial" w:eastAsia="Arial" w:hAnsi="Arial"/>
          <w:sz w:val="20"/>
          <w:szCs w:val="20"/>
          <w:color w:val="auto"/>
          <w:vertAlign w:val="superscript"/>
        </w:rPr>
      </w:pPr>
      <w:r>
        <w:rPr>
          <w:rFonts w:ascii="Arial" w:cs="Arial" w:eastAsia="Arial" w:hAnsi="Arial"/>
          <w:sz w:val="16"/>
          <w:szCs w:val="16"/>
          <w:color w:val="auto"/>
        </w:rPr>
        <w:t>There are being registered hereunder such indeterminate number of shares of common stock and preferred stock, such indeterminate principal amount of debt securities, and such indeterminate number of warrants to purchase common stock, preferred stock or debt securities as shall have an aggregate initial offering price not to exceed $300,000,000. If any debt securities are issued at an original issue discount, then the offering price of such debt securities shall be in such greater principal amount as shall result in an aggregate initial offering price not to exceed $300,000,000, less the aggregate dollar amount of all securities previously issued hereunder. Any securities registered hereunder may be sold separately or in combination with other securities registered hereunder. The securities registered also include such indeterminate amounts and numbers of common stock, preferred stock, and debt securities as may be issued upon conversion of or exchange for preferred stock 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 The proposed maximum offering price per share will be determined, from time to time, by the registrant in connection with the issuance by the registrant of the securities registered hereunder and is not specified as to each class of security pursuant to Instruction 2.A.iii.b. to the Calculation of Filing Fee Tables and Related Disclosure on Item 16(b) of Form S-3 under the Securities Act. Separate consideration may or may not be received for securities that are issuable upon the conversion or exercise of, or in exchange for, other securities offered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5010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6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Paid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3"/>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8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Source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-981075</wp:posOffset>
            </wp:positionV>
            <wp:extent cx="12700" cy="2047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12700" cy="20472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-981075</wp:posOffset>
            </wp:positionV>
            <wp:extent cx="12700" cy="2047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12700" cy="204724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7"/>
          <w:szCs w:val="17"/>
          <w:b w:val="1"/>
          <w:bCs w:val="1"/>
          <w:color w:val="auto"/>
        </w:rPr>
        <w:t>Rules 457(b) and 0-11(a)(2)</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-116840</wp:posOffset>
            </wp:positionV>
            <wp:extent cx="7112000" cy="2495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12000" cy="2495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-116840</wp:posOffset>
            </wp:positionV>
            <wp:extent cx="7112000" cy="2495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12000" cy="2495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Rule 457(p)</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-116840</wp:posOffset>
            </wp:positionV>
            <wp:extent cx="7112000" cy="238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12000" cy="2387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ectPr>
          <w:pgSz w:w="11900" w:h="16911" w:orient="portrait"/>
          <w:cols w:equalWidth="0" w:num="1">
            <w:col w:w="11360"/>
          </w:cols>
          <w:pgMar w:left="300" w:top="141" w:right="239" w:bottom="0" w:gutter="0" w:footer="0" w:header="0"/>
        </w:sectPr>
      </w:pPr>
    </w:p>
    <w:bookmarkStart w:id="51" w:name="page52"/>
    <w:bookmarkEnd w:id="51"/>
    <w:p>
      <w:pPr>
        <w:ind w:left="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70420" cy="285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70420" cy="285115"/>
                    </a:xfrm>
                    <a:prstGeom prst="rect">
                      <a:avLst/>
                    </a:prstGeom>
                    <a:noFill/>
                  </pic:spPr>
                </pic:pic>
              </a:graphicData>
            </a:graphic>
          </wp:anchor>
        </w:drawing>
        <w:t>Fee Offset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7"/>
              </w:rPr>
              <w:t>Table 3: Combined Prospectuses</w:t>
            </w:r>
          </w:p>
        </w:tc>
        <w:tc>
          <w:tcPr>
            <w:tcW w:w="2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4"/>
          </w:tcPr>
          <w:p>
            <w:pPr>
              <w:ind w:left="7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60"/>
              <w:spacing w:after="0" w:line="191"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Maximum Aggregate</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80"/>
              <w:spacing w:after="0" w:line="186"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20"/>
              <w:spacing w:after="0" w:line="186"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260"/>
              <w:spacing w:after="0" w:line="186"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restart"/>
            <w:shd w:val="clear" w:color="auto" w:fill="9ADAF6"/>
          </w:tcPr>
          <w:p>
            <w:pPr>
              <w:ind w:left="40"/>
              <w:spacing w:after="0" w:line="186"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vMerge w:val="restart"/>
            <w:shd w:val="clear" w:color="auto" w:fill="9ADAF6"/>
          </w:tcPr>
          <w:p>
            <w:pPr>
              <w:ind w:left="100"/>
              <w:spacing w:after="0" w:line="186"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60"/>
              <w:spacing w:after="0" w:line="186"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40"/>
              <w:spacing w:after="0" w:line="186"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sectPr>
      <w:pgSz w:w="11900" w:h="16838" w:orient="portrait"/>
      <w:cols w:equalWidth="0" w:num="1">
        <w:col w:w="11300"/>
      </w:cols>
      <w:pgMar w:left="300" w:top="15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lowerRoman"/>
      <w:start w:val="6"/>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07"/>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lowerRoman"/>
      <w:start w:val="2"/>
    </w:lvl>
  </w:abstractNum>
  <w:abstractNum w:abstractNumId="34">
    <w:nsid w:val="5C482A97"/>
    <w:multiLevelType w:val="hybridMultilevel"/>
    <w:lvl w:ilvl="0">
      <w:lvlJc w:val="left"/>
      <w:lvlText w:val="(%1)"/>
      <w:numFmt w:val="decimal"/>
      <w:start w:val="2"/>
    </w:lvl>
  </w:abstractNum>
  <w:abstractNum w:abstractNumId="35">
    <w:nsid w:val="2463B9EA"/>
    <w:multiLevelType w:val="hybridMultilevel"/>
    <w:lvl w:ilvl="0">
      <w:lvlJc w:val="left"/>
      <w:lvlText w:val="(%1)"/>
      <w:numFmt w:val="lowerRoman"/>
      <w:start w:val="1"/>
    </w:lvl>
  </w:abstractNum>
  <w:abstractNum w:abstractNumId="36">
    <w:nsid w:val="5E884ADC"/>
    <w:multiLevelType w:val="hybridMultilevel"/>
    <w:lvl w:ilvl="0">
      <w:lvlJc w:val="left"/>
      <w:lvlText w:val="(%1)"/>
      <w:numFmt w:val="decimal"/>
      <w:start w:val="5"/>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4"/>
    </w:lvl>
  </w:abstractNum>
  <w:abstractNum w:abstractNumId="40">
    <w:nsid w:val="153EA43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jpeg"/><Relationship Id="rId86" Type="http://schemas.openxmlformats.org/officeDocument/2006/relationships/image" Target="media/image61.png"/><Relationship Id="rId87" Type="http://schemas.openxmlformats.org/officeDocument/2006/relationships/image" Target="media/image62.jpeg"/><Relationship Id="rId88" Type="http://schemas.openxmlformats.org/officeDocument/2006/relationships/image" Target="media/image63.png"/><Relationship Id="rId89" Type="http://schemas.openxmlformats.org/officeDocument/2006/relationships/image" Target="media/image64.jpeg"/><Relationship Id="rId90" Type="http://schemas.openxmlformats.org/officeDocument/2006/relationships/image" Target="media/image65.png"/><Relationship Id="rId91" Type="http://schemas.openxmlformats.org/officeDocument/2006/relationships/image" Target="media/image66.jpeg"/><Relationship Id="rId92" Type="http://schemas.openxmlformats.org/officeDocument/2006/relationships/image" Target="media/image67.png"/><Relationship Id="rId93" Type="http://schemas.openxmlformats.org/officeDocument/2006/relationships/image" Target="media/image68.jpe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60" Type="http://schemas.openxmlformats.org/officeDocument/2006/relationships/hyperlink" Target="http://www.sec.gov/ix?doc=/Archives/edgar/data/1807120/000119312526098491/dsgn-20251231.htm" TargetMode="External"/><Relationship Id="rId61" Type="http://schemas.openxmlformats.org/officeDocument/2006/relationships/hyperlink" Target="http://www.sec.gov/ix?doc=/Archives/edgar/data/1807120/000119312526173678/dsgn-20260423.htm" TargetMode="External"/><Relationship Id="rId62" Type="http://schemas.openxmlformats.org/officeDocument/2006/relationships/hyperlink" Target="http://www.sec.gov/ix?doc=/Archives/edgar/data/1807120/000119312526187063/dsgn-20260331.htm" TargetMode="External"/><Relationship Id="rId63" Type="http://schemas.openxmlformats.org/officeDocument/2006/relationships/hyperlink" Target="http://www.sec.gov/ix?doc=/Archives/edgar/data/1807120/000119312526329579/dsgn-20260630.htm" TargetMode="External"/><Relationship Id="rId64" Type="http://schemas.openxmlformats.org/officeDocument/2006/relationships/hyperlink" Target="http://www.sec.gov/ix?doc=/Archives/edgar/data/1807120/000119312526447258/dsgn-20260930.htm" TargetMode="External"/><Relationship Id="rId65" Type="http://schemas.openxmlformats.org/officeDocument/2006/relationships/hyperlink" Target="http://www.sec.gov/ix?doc=/Archives/edgar/data/1807120/000119312526031772/d14213d8k.htm" TargetMode="External"/><Relationship Id="rId66" Type="http://schemas.openxmlformats.org/officeDocument/2006/relationships/hyperlink" Target="http://www.sec.gov/ix?doc=/Archives/edgar/data/1807120/000119312526137861/dsgn-20260331.htm" TargetMode="External"/><Relationship Id="rId67" Type="http://schemas.openxmlformats.org/officeDocument/2006/relationships/hyperlink" Target="http://www.sec.gov/ix?doc=/Archives/edgar/data/1807120/000119312526227875/d154773d8k.htm" TargetMode="External"/><Relationship Id="rId68" Type="http://schemas.openxmlformats.org/officeDocument/2006/relationships/hyperlink" Target="http://www.sec.gov/ix?doc=/Archives/edgar/data/1807120/000119312526267485/dsgn-20260609.htm" TargetMode="External"/><Relationship Id="rId69" Type="http://schemas.openxmlformats.org/officeDocument/2006/relationships/hyperlink" Target="http://www.sec.gov/Archives/edgar/data/1807120/000119312521091210/d163112d8a12b.htm" TargetMode="External"/><Relationship Id="rId70" Type="http://schemas.openxmlformats.org/officeDocument/2006/relationships/hyperlink" Target="http://www.sec.gov/Archives/edgar/data/1807120/000095017024033492/dsgn-ex4_3.htm" TargetMode="External"/><Relationship Id="rId73" Type="http://schemas.openxmlformats.org/officeDocument/2006/relationships/hyperlink" Target="http://www.sec.gov/Archives/edgar/data/1807120/000119312521100253/d108026dex31.htm" TargetMode="External"/><Relationship Id="rId74" Type="http://schemas.openxmlformats.org/officeDocument/2006/relationships/hyperlink" Target="http://www.sec.gov/Archives/edgar/data/1807120/000119312521100253/d108026dex32.htm" TargetMode="External"/><Relationship Id="rId75" Type="http://schemas.openxmlformats.org/officeDocument/2006/relationships/hyperlink" Target="http://www.sec.gov/Archives/edgar/data/1807120/000119312521088348/d80825dex41.htm" TargetMode="External"/><Relationship Id="rId76" Type="http://schemas.openxmlformats.org/officeDocument/2006/relationships/hyperlink" Target="http://www.sec.gov/Archives/edgar/data/1807120/000119312525114986/d879233dex46.htm" TargetMode="External"/><Relationship Id="rId77" Type="http://schemas.openxmlformats.org/officeDocument/2006/relationships/hyperlink" Target="http://www.sec.gov/Archives/edgar/data/1807120/000119312525114986/d879233dex48.htm" TargetMode="External"/><Relationship Id="rId78" Type="http://schemas.openxmlformats.org/officeDocument/2006/relationships/hyperlink" Target="http://www.sec.gov/Archives/edgar/data/1807120/000119312525114986/d879233dex49.htm" TargetMode="External"/><Relationship Id="rId79" Type="http://schemas.openxmlformats.org/officeDocument/2006/relationships/hyperlink" Target="http://www.sec.gov/Archives/edgar/data/1807120/000119312525114986/d879233dex4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2026-11-04T16:03:43Z</dcterms:created>
  <dcterms:modified xsi:type="dcterms:W3CDTF">2026-11-04T16:03:43Z</dcterms:modified>
</cp:coreProperties>
</file>