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dsgn-20260930.htm"/>
      <w:bookmarkStart w:id="1" w:name="ksdsgn20260930"/>
      <w:bookmarkEnd w:id="0"/>
      <w:bookmarkEnd w:id="1"/>
      <w:r>
        <w:t> </w:t>
      </w:r>
      <w:r>
        <mc:AlternateContent>
          <mc:Choice Requires="wps">
            <w:drawing>
              <wp:anchor behindDoc="0" distT="0" distB="0" distL="0" distR="0" simplePos="0" locked="0" layoutInCell="1" allowOverlap="1" relativeHeight="8">
                <wp:simplePos x="0" y="0"/>
                <wp:positionH relativeFrom="page">
                  <wp:posOffset>6172200</wp:posOffset>
                </wp:positionH>
                <wp:positionV relativeFrom="page">
                  <wp:posOffset>9486900</wp:posOffset>
                </wp:positionV>
                <wp:extent cx="14605" cy="228600"/>
                <wp:effectExtent l="0" t="0" r="0" b="0"/>
                <wp:wrapNone/>
                <wp:docPr id="1" name="Frame5"/>
                <a:graphic xmlns:a="http://schemas.openxmlformats.org/drawingml/2006/main">
                  <a:graphicData uri="http://schemas.microsoft.com/office/word/2010/wordprocessingShape">
                    <wps:wsp>
                      <wps:cNvSpPr txBox="1"/>
                      <wps:spPr>
                        <a:xfrm>
                          <a:off x="0" y="0"/>
                          <a:ext cx="14605" cy="228600"/>
                        </a:xfrm>
                        <a:prstGeom prst="rect"/>
                        <a:solidFill>
                          <a:srgbClr val="FFFFFF"/>
                        </a:solidFill>
                      </wps:spPr>
                      <wps:txbx>
                        <w:txbxContent>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1.15pt;height:18pt;mso-wrap-distance-left:0pt;mso-wrap-distance-right:0pt;mso-wrap-distance-top:0pt;mso-wrap-distance-bottom:0pt;margin-top:747pt;mso-position-vertical-relative:page;margin-left:486pt;mso-position-horizontal-relative:page">
                <v:textbox inset="0in,0in,0in,0in">
                  <w:txbxContent>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457200</wp:posOffset>
                </wp:positionH>
                <wp:positionV relativeFrom="page">
                  <wp:posOffset>9291320</wp:posOffset>
                </wp:positionV>
                <wp:extent cx="6858000" cy="559435"/>
                <wp:effectExtent l="0" t="0" r="0" b="0"/>
                <wp:wrapNone/>
                <wp:docPr id="2" name="Frame4"/>
                <a:graphic xmlns:a="http://schemas.openxmlformats.org/drawingml/2006/main">
                  <a:graphicData uri="http://schemas.microsoft.com/office/word/2010/wordprocessingShape">
                    <wps:wsp>
                      <wps:cNvSpPr txBox="1"/>
                      <wps:spPr>
                        <a:xfrm>
                          <a:off x="0" y="0"/>
                          <a:ext cx="6858000" cy="559435"/>
                        </a:xfrm>
                        <a:prstGeom prst="rect"/>
                        <a:solidFill>
                          <a:srgbClr val="FFFFFF"/>
                        </a:solidFill>
                      </wps:spPr>
                      <wps:txbx>
                        <w:txbxContent>
                          <w:p>
                            <w:pPr>
                              <w:pStyle w:val="TextBody"/>
                              <w:bidi w:val="0"/>
                              <w:jc w:val="center"/>
                              <w:rPr>
                                <w:rFonts w:ascii="Arial" w:hAnsi="Arial"/>
                                <w:sz w:val="14"/>
                              </w:rPr>
                            </w:pPr>
                            <w:r>
                              <w:rPr>
                                <w:rFonts w:ascii="Arial" w:hAnsi="Arial"/>
                                <w:color w:val="000000"/>
                                <w:sz w:val="14"/>
                              </w:rPr>
                              <w:t xml:space="preserve">Cooley </w:t>
                            </w:r>
                            <w:r>
                              <w:rPr>
                                <w:rFonts w:ascii="Arial" w:hAnsi="Arial"/>
                                <w:smallCaps/>
                                <w:color w:val="000000"/>
                                <w:sz w:val="14"/>
                              </w:rPr>
                              <w:t>llp</w:t>
                            </w:r>
                            <w:r>
                              <w:rPr>
                                <w:rFonts w:ascii="Arial" w:hAnsi="Arial"/>
                                <w:color w:val="000000"/>
                                <w:sz w:val="14"/>
                              </w:rPr>
                              <w:t xml:space="preserve"> 10265 Science Center Drive San Diego, CA </w:t>
                            </w:r>
                            <w:r>
                              <w:rPr>
                                <w:rFonts w:ascii="Arial" w:hAnsi="Arial"/>
                                <w:caps/>
                                <w:color w:val="000000"/>
                                <w:sz w:val="14"/>
                              </w:rPr>
                              <w:t>92121</w:t>
                            </w:r>
                            <w:r>
                              <w:rPr>
                                <w:rFonts w:ascii="Arial" w:hAnsi="Arial"/>
                                <w:color w:val="000000"/>
                                <w:sz w:val="14"/>
                              </w:rPr>
                              <w:br/>
                              <w:t>t: (</w:t>
                            </w:r>
                            <w:r>
                              <w:rPr>
                                <w:rFonts w:ascii="Arial" w:hAnsi="Arial"/>
                                <w:caps/>
                                <w:color w:val="000000"/>
                                <w:sz w:val="14"/>
                              </w:rPr>
                              <w:t>858) 550-6000</w:t>
                            </w:r>
                            <w:r>
                              <w:rPr>
                                <w:rFonts w:ascii="Arial" w:hAnsi="Arial"/>
                                <w:color w:val="000000"/>
                                <w:sz w:val="14"/>
                              </w:rPr>
                              <w:t xml:space="preserve"> f: (</w:t>
                            </w:r>
                            <w:r>
                              <w:rPr>
                                <w:rFonts w:ascii="Arial" w:hAnsi="Arial"/>
                                <w:caps/>
                                <w:color w:val="000000"/>
                                <w:sz w:val="14"/>
                              </w:rPr>
                              <w:t>858) 550-6420</w:t>
                            </w:r>
                            <w:r>
                              <w:rPr>
                                <w:rFonts w:ascii="Arial" w:hAnsi="Arial"/>
                                <w:color w:val="000000"/>
                                <w:sz w:val="14"/>
                              </w:rPr>
                              <w:t xml:space="preserve"> cooley.com</w:t>
                            </w:r>
                          </w:p>
                          <w:p>
                            <w:pPr>
                              <w:pStyle w:val="TextBody"/>
                              <w:bidi w:val="0"/>
                              <w:spacing w:before="0" w:after="283"/>
                              <w:jc w:val="center"/>
                            </w:pPr>
                            <w:r>
                              <w:t> </w:t>
                            </w:r>
                          </w:p>
                        </w:txbxContent>
                      </wps:txbx>
                      <wps:bodyPr anchor="t" lIns="0" tIns="0" rIns="0" bIns="0">
                        <a:noAutofit/>
                      </wps:bodyPr>
                    </wps:wsp>
                  </a:graphicData>
                </a:graphic>
              </wp:anchor>
            </w:drawing>
          </mc:Choice>
          <mc:Fallback>
            <w:pict>
              <v:rect style="position:absolute;rotation:-0;width:540pt;height:44.05pt;mso-wrap-distance-left:0pt;mso-wrap-distance-right:0pt;mso-wrap-distance-top:0pt;mso-wrap-distance-bottom:0pt;margin-top:731.6pt;mso-position-vertical-relative:page;margin-left:36pt;mso-position-horizontal-relative:page">
                <v:textbox inset="0in,0in,0in,0in">
                  <w:txbxContent>
                    <w:p>
                      <w:pPr>
                        <w:pStyle w:val="TextBody"/>
                        <w:bidi w:val="0"/>
                        <w:jc w:val="center"/>
                        <w:rPr>
                          <w:rFonts w:ascii="Arial" w:hAnsi="Arial"/>
                          <w:sz w:val="14"/>
                        </w:rPr>
                      </w:pPr>
                      <w:r>
                        <w:rPr>
                          <w:rFonts w:ascii="Arial" w:hAnsi="Arial"/>
                          <w:color w:val="000000"/>
                          <w:sz w:val="14"/>
                        </w:rPr>
                        <w:t xml:space="preserve">Cooley </w:t>
                      </w:r>
                      <w:r>
                        <w:rPr>
                          <w:rFonts w:ascii="Arial" w:hAnsi="Arial"/>
                          <w:smallCaps/>
                          <w:color w:val="000000"/>
                          <w:sz w:val="14"/>
                        </w:rPr>
                        <w:t>llp</w:t>
                      </w:r>
                      <w:r>
                        <w:rPr>
                          <w:rFonts w:ascii="Arial" w:hAnsi="Arial"/>
                          <w:color w:val="000000"/>
                          <w:sz w:val="14"/>
                        </w:rPr>
                        <w:t xml:space="preserve"> 10265 Science Center Drive San Diego, CA </w:t>
                      </w:r>
                      <w:r>
                        <w:rPr>
                          <w:rFonts w:ascii="Arial" w:hAnsi="Arial"/>
                          <w:caps/>
                          <w:color w:val="000000"/>
                          <w:sz w:val="14"/>
                        </w:rPr>
                        <w:t>92121</w:t>
                      </w:r>
                      <w:r>
                        <w:rPr>
                          <w:rFonts w:ascii="Arial" w:hAnsi="Arial"/>
                          <w:color w:val="000000"/>
                          <w:sz w:val="14"/>
                        </w:rPr>
                        <w:br/>
                        <w:t>t: (</w:t>
                      </w:r>
                      <w:r>
                        <w:rPr>
                          <w:rFonts w:ascii="Arial" w:hAnsi="Arial"/>
                          <w:caps/>
                          <w:color w:val="000000"/>
                          <w:sz w:val="14"/>
                        </w:rPr>
                        <w:t>858) 550-6000</w:t>
                      </w:r>
                      <w:r>
                        <w:rPr>
                          <w:rFonts w:ascii="Arial" w:hAnsi="Arial"/>
                          <w:color w:val="000000"/>
                          <w:sz w:val="14"/>
                        </w:rPr>
                        <w:t xml:space="preserve"> f: (</w:t>
                      </w:r>
                      <w:r>
                        <w:rPr>
                          <w:rFonts w:ascii="Arial" w:hAnsi="Arial"/>
                          <w:caps/>
                          <w:color w:val="000000"/>
                          <w:sz w:val="14"/>
                        </w:rPr>
                        <w:t>858) 550-6420</w:t>
                      </w:r>
                      <w:r>
                        <w:rPr>
                          <w:rFonts w:ascii="Arial" w:hAnsi="Arial"/>
                          <w:color w:val="000000"/>
                          <w:sz w:val="14"/>
                        </w:rPr>
                        <w:t xml:space="preserve"> cooley.com</w:t>
                      </w:r>
                    </w:p>
                    <w:p>
                      <w:pPr>
                        <w:pStyle w:val="TextBody"/>
                        <w:bidi w:val="0"/>
                        <w:spacing w:before="0" w:after="283"/>
                        <w:jc w:val="center"/>
                      </w:pPr>
                      <w: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6172200</wp:posOffset>
                </wp:positionH>
                <wp:positionV relativeFrom="page">
                  <wp:posOffset>9486900</wp:posOffset>
                </wp:positionV>
                <wp:extent cx="14605" cy="175260"/>
                <wp:effectExtent l="0" t="0" r="0" b="0"/>
                <wp:wrapNone/>
                <wp:docPr id="3" name="Frame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747pt;mso-position-vertical-relative:page;margin-left:486pt;mso-position-horizontal-relative:page">
                <v:textbox inset="0in,0in,0in,0in">
                  <w:txbxContent>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457200</wp:posOffset>
                </wp:positionH>
                <wp:positionV relativeFrom="page">
                  <wp:posOffset>9284970</wp:posOffset>
                </wp:positionV>
                <wp:extent cx="6858000" cy="559435"/>
                <wp:effectExtent l="0" t="0" r="0" b="0"/>
                <wp:wrapNone/>
                <wp:docPr id="4" name="Frame2"/>
                <a:graphic xmlns:a="http://schemas.openxmlformats.org/drawingml/2006/main">
                  <a:graphicData uri="http://schemas.microsoft.com/office/word/2010/wordprocessingShape">
                    <wps:wsp>
                      <wps:cNvSpPr txBox="1"/>
                      <wps:spPr>
                        <a:xfrm>
                          <a:off x="0" y="0"/>
                          <a:ext cx="6858000" cy="559435"/>
                        </a:xfrm>
                        <a:prstGeom prst="rect"/>
                        <a:solidFill>
                          <a:srgbClr val="FFFFFF"/>
                        </a:solidFill>
                      </wps:spPr>
                      <wps:txbx>
                        <w:txbxContent>
                          <w:p>
                            <w:pPr>
                              <w:pStyle w:val="TextBody"/>
                              <w:bidi w:val="0"/>
                              <w:jc w:val="center"/>
                              <w:rPr>
                                <w:rFonts w:ascii="Arial" w:hAnsi="Arial"/>
                                <w:sz w:val="14"/>
                              </w:rPr>
                            </w:pPr>
                            <w:r>
                              <w:rPr>
                                <w:rFonts w:ascii="Arial" w:hAnsi="Arial"/>
                                <w:color w:val="000000"/>
                                <w:sz w:val="14"/>
                              </w:rPr>
                              <w:t xml:space="preserve">Cooley </w:t>
                            </w:r>
                            <w:r>
                              <w:rPr>
                                <w:rFonts w:ascii="Arial" w:hAnsi="Arial"/>
                                <w:smallCaps/>
                                <w:color w:val="000000"/>
                                <w:sz w:val="14"/>
                              </w:rPr>
                              <w:t>llp</w:t>
                            </w:r>
                            <w:r>
                              <w:rPr>
                                <w:rFonts w:ascii="Arial" w:hAnsi="Arial"/>
                                <w:color w:val="000000"/>
                                <w:sz w:val="14"/>
                              </w:rPr>
                              <w:t xml:space="preserve"> 10265 Science Center Drive San Diego, CA </w:t>
                            </w:r>
                            <w:r>
                              <w:rPr>
                                <w:rFonts w:ascii="Arial" w:hAnsi="Arial"/>
                                <w:caps/>
                                <w:color w:val="000000"/>
                                <w:sz w:val="14"/>
                              </w:rPr>
                              <w:t>92121</w:t>
                            </w:r>
                            <w:r>
                              <w:rPr>
                                <w:rFonts w:ascii="Arial" w:hAnsi="Arial"/>
                                <w:color w:val="000000"/>
                                <w:sz w:val="14"/>
                              </w:rPr>
                              <w:br/>
                              <w:t>t: (</w:t>
                            </w:r>
                            <w:r>
                              <w:rPr>
                                <w:rFonts w:ascii="Arial" w:hAnsi="Arial"/>
                                <w:caps/>
                                <w:color w:val="000000"/>
                                <w:sz w:val="14"/>
                              </w:rPr>
                              <w:t>858) 550-6000</w:t>
                            </w:r>
                            <w:r>
                              <w:rPr>
                                <w:rFonts w:ascii="Arial" w:hAnsi="Arial"/>
                                <w:color w:val="000000"/>
                                <w:sz w:val="14"/>
                              </w:rPr>
                              <w:t xml:space="preserve"> f: (</w:t>
                            </w:r>
                            <w:r>
                              <w:rPr>
                                <w:rFonts w:ascii="Arial" w:hAnsi="Arial"/>
                                <w:caps/>
                                <w:color w:val="000000"/>
                                <w:sz w:val="14"/>
                              </w:rPr>
                              <w:t>858) 550-6420</w:t>
                            </w:r>
                            <w:r>
                              <w:rPr>
                                <w:rFonts w:ascii="Arial" w:hAnsi="Arial"/>
                                <w:color w:val="000000"/>
                                <w:sz w:val="14"/>
                              </w:rPr>
                              <w:t xml:space="preserve"> cooley.com</w:t>
                            </w:r>
                          </w:p>
                          <w:p>
                            <w:pPr>
                              <w:pStyle w:val="TextBody"/>
                              <w:bidi w:val="0"/>
                              <w:spacing w:before="0" w:after="283"/>
                              <w:jc w:val="center"/>
                            </w:pPr>
                            <w:r>
                              <w:t> </w:t>
                            </w:r>
                          </w:p>
                        </w:txbxContent>
                      </wps:txbx>
                      <wps:bodyPr anchor="t" lIns="0" tIns="0" rIns="0" bIns="0">
                        <a:noAutofit/>
                      </wps:bodyPr>
                    </wps:wsp>
                  </a:graphicData>
                </a:graphic>
              </wp:anchor>
            </w:drawing>
          </mc:Choice>
          <mc:Fallback>
            <w:pict>
              <v:rect style="position:absolute;rotation:-0;width:540pt;height:44.05pt;mso-wrap-distance-left:0pt;mso-wrap-distance-right:0pt;mso-wrap-distance-top:0pt;mso-wrap-distance-bottom:0pt;margin-top:731.1pt;mso-position-vertical-relative:page;margin-left:36pt;mso-position-horizontal-relative:page">
                <v:textbox inset="0in,0in,0in,0in">
                  <w:txbxContent>
                    <w:p>
                      <w:pPr>
                        <w:pStyle w:val="TextBody"/>
                        <w:bidi w:val="0"/>
                        <w:jc w:val="center"/>
                        <w:rPr>
                          <w:rFonts w:ascii="Arial" w:hAnsi="Arial"/>
                          <w:sz w:val="14"/>
                        </w:rPr>
                      </w:pPr>
                      <w:r>
                        <w:rPr>
                          <w:rFonts w:ascii="Arial" w:hAnsi="Arial"/>
                          <w:color w:val="000000"/>
                          <w:sz w:val="14"/>
                        </w:rPr>
                        <w:t xml:space="preserve">Cooley </w:t>
                      </w:r>
                      <w:r>
                        <w:rPr>
                          <w:rFonts w:ascii="Arial" w:hAnsi="Arial"/>
                          <w:smallCaps/>
                          <w:color w:val="000000"/>
                          <w:sz w:val="14"/>
                        </w:rPr>
                        <w:t>llp</w:t>
                      </w:r>
                      <w:r>
                        <w:rPr>
                          <w:rFonts w:ascii="Arial" w:hAnsi="Arial"/>
                          <w:color w:val="000000"/>
                          <w:sz w:val="14"/>
                        </w:rPr>
                        <w:t xml:space="preserve"> 10265 Science Center Drive San Diego, CA </w:t>
                      </w:r>
                      <w:r>
                        <w:rPr>
                          <w:rFonts w:ascii="Arial" w:hAnsi="Arial"/>
                          <w:caps/>
                          <w:color w:val="000000"/>
                          <w:sz w:val="14"/>
                        </w:rPr>
                        <w:t>92121</w:t>
                      </w:r>
                      <w:r>
                        <w:rPr>
                          <w:rFonts w:ascii="Arial" w:hAnsi="Arial"/>
                          <w:color w:val="000000"/>
                          <w:sz w:val="14"/>
                        </w:rPr>
                        <w:br/>
                        <w:t>t: (</w:t>
                      </w:r>
                      <w:r>
                        <w:rPr>
                          <w:rFonts w:ascii="Arial" w:hAnsi="Arial"/>
                          <w:caps/>
                          <w:color w:val="000000"/>
                          <w:sz w:val="14"/>
                        </w:rPr>
                        <w:t>858) 550-6000</w:t>
                      </w:r>
                      <w:r>
                        <w:rPr>
                          <w:rFonts w:ascii="Arial" w:hAnsi="Arial"/>
                          <w:color w:val="000000"/>
                          <w:sz w:val="14"/>
                        </w:rPr>
                        <w:t xml:space="preserve"> f: (</w:t>
                      </w:r>
                      <w:r>
                        <w:rPr>
                          <w:rFonts w:ascii="Arial" w:hAnsi="Arial"/>
                          <w:caps/>
                          <w:color w:val="000000"/>
                          <w:sz w:val="14"/>
                        </w:rPr>
                        <w:t>858) 550-6420</w:t>
                      </w:r>
                      <w:r>
                        <w:rPr>
                          <w:rFonts w:ascii="Arial" w:hAnsi="Arial"/>
                          <w:color w:val="000000"/>
                          <w:sz w:val="14"/>
                        </w:rPr>
                        <w:t xml:space="preserve"> cooley.com</w:t>
                      </w:r>
                    </w:p>
                    <w:p>
                      <w:pPr>
                        <w:pStyle w:val="TextBody"/>
                        <w:bidi w:val="0"/>
                        <w:spacing w:before="0" w:after="283"/>
                        <w:jc w:val="center"/>
                      </w:pPr>
                      <w: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5981700</wp:posOffset>
                </wp:positionH>
                <wp:positionV relativeFrom="page">
                  <wp:posOffset>447675</wp:posOffset>
                </wp:positionV>
                <wp:extent cx="902970" cy="177800"/>
                <wp:effectExtent l="0" t="0" r="0" b="0"/>
                <wp:wrapNone/>
                <wp:docPr id="5" name="Frame1"/>
                <a:graphic xmlns:a="http://schemas.openxmlformats.org/drawingml/2006/main">
                  <a:graphicData uri="http://schemas.microsoft.com/office/word/2010/wordprocessingShape">
                    <wps:wsp>
                      <wps:cNvSpPr txBox="1"/>
                      <wps:spPr>
                        <a:xfrm>
                          <a:off x="0" y="0"/>
                          <a:ext cx="902970" cy="177800"/>
                        </a:xfrm>
                        <a:prstGeom prst="rect"/>
                        <a:solidFill>
                          <a:srgbClr val="FFFFFF"/>
                        </a:solidFill>
                      </wps:spPr>
                      <wps:txbx>
                        <w:txbxContent>
                          <w:p>
                            <w:pPr>
                              <w:pStyle w:val="TextBody"/>
                              <w:bidi w:val="0"/>
                              <w:spacing w:before="0" w:after="283"/>
                              <w:jc w:val="left"/>
                              <w:rPr>
                                <w:rFonts w:ascii="Times New Roman" w:hAnsi="Times New Roman"/>
                                <w:b/>
                                <w:color w:val="000000"/>
                                <w:sz w:val="20"/>
                              </w:rPr>
                            </w:pPr>
                            <w:r>
                              <w:rPr>
                                <w:rFonts w:ascii="Times New Roman" w:hAnsi="Times New Roman"/>
                                <w:b/>
                                <w:color w:val="000000"/>
                                <w:sz w:val="20"/>
                              </w:rPr>
                              <w:t>Exhibit 5.1</w:t>
                            </w:r>
                          </w:p>
                        </w:txbxContent>
                      </wps:txbx>
                      <wps:bodyPr anchor="t" lIns="0" tIns="0" rIns="0" bIns="0">
                        <a:noAutofit/>
                      </wps:bodyPr>
                    </wps:wsp>
                  </a:graphicData>
                </a:graphic>
              </wp:anchor>
            </w:drawing>
          </mc:Choice>
          <mc:Fallback>
            <w:pict>
              <v:rect style="position:absolute;rotation:-0;width:71.1pt;height:14pt;mso-wrap-distance-left:0pt;mso-wrap-distance-right:0pt;mso-wrap-distance-top:0pt;mso-wrap-distance-bottom:0pt;margin-top:35.25pt;mso-position-vertical-relative:page;margin-left:471pt;mso-position-horizontal-relative:page">
                <v:textbox inset="0in,0in,0in,0in">
                  <w:txbxContent>
                    <w:p>
                      <w:pPr>
                        <w:pStyle w:val="TextBody"/>
                        <w:bidi w:val="0"/>
                        <w:spacing w:before="0" w:after="283"/>
                        <w:jc w:val="left"/>
                        <w:rPr>
                          <w:rFonts w:ascii="Times New Roman" w:hAnsi="Times New Roman"/>
                          <w:b/>
                          <w:color w:val="000000"/>
                          <w:sz w:val="20"/>
                        </w:rPr>
                      </w:pPr>
                      <w:r>
                        <w:rPr>
                          <w:rFonts w:ascii="Times New Roman" w:hAnsi="Times New Roman"/>
                          <w:b/>
                          <w:color w:val="000000"/>
                          <w:sz w:val="20"/>
                        </w:rPr>
                        <w:t>Exhibit 5.1</w:t>
                      </w:r>
                    </w:p>
                  </w:txbxContent>
                </v:textbox>
                <w10:wrap type="none"/>
              </v:rect>
            </w:pict>
          </mc:Fallback>
        </mc:AlternateContent>
      </w:r>
    </w:p>
    <w:p>
      <w:pPr>
        <w:pStyle w:val="TextBody"/>
        <w:pBdr>
          <w:top w:val="double" w:sz="4" w:space="1" w:color="000000"/>
        </w:pBdr>
        <w:bidi w:val="0"/>
        <w:jc w:val="center"/>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pPr>
      <w: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pPr>
      <w:r>
        <w:t> </w:t>
      </w:r>
    </w:p>
    <w:p>
      <w:pPr>
        <w:pStyle w:val="TextBody"/>
        <w:bidi w:val="0"/>
        <w:spacing w:before="80" w:after="283"/>
        <w:jc w:val="left"/>
      </w:pPr>
      <w: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w:t>
      </w:r>
      <w:r>
        <w:rPr>
          <w:rFonts w:ascii="Times New Roman" w:hAnsi="Times New Roman"/>
          <w:color w:val="000000"/>
          <w:sz w:val="20"/>
        </w:rPr>
        <w:t xml:space="preserve"> </w:t>
      </w:r>
      <w:r>
        <w:rPr>
          <w:rFonts w:ascii="Times New Roman" w:hAnsi="Times New Roman"/>
          <w:b/>
          <w:color w:val="000000"/>
          <w:sz w:val="20"/>
        </w:rPr>
        <w:t>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001-40288</w:t>
      </w:r>
    </w:p>
    <w:p>
      <w:pPr>
        <w:pStyle w:val="TextBody"/>
        <w:pBdr>
          <w:bottom w:val="single" w:sz="4" w:space="1" w:color="000000"/>
        </w:pBdr>
        <w:bidi w:val="0"/>
        <w:jc w:val="center"/>
      </w:pPr>
      <w:r>
        <w:t> </w:t>
      </w:r>
    </w:p>
    <w:p>
      <w:pPr>
        <w:pStyle w:val="TextBody"/>
        <w:bidi w:val="0"/>
        <w:jc w:val="center"/>
        <w:rPr>
          <w:rFonts w:ascii="Times New Roman" w:hAnsi="Times New Roman"/>
          <w:b/>
          <w:color w:val="000000"/>
          <w:sz w:val="48"/>
        </w:rPr>
      </w:pPr>
      <w:r>
        <w:rPr>
          <w:rFonts w:ascii="Times New Roman" w:hAnsi="Times New Roman"/>
          <w:b/>
          <w:color w:val="000000"/>
          <w:sz w:val="48"/>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pPr>
      <w:r>
        <w:t> </w:t>
      </w:r>
    </w:p>
    <w:p>
      <w:pPr>
        <w:pStyle w:val="TextBody"/>
        <w:bidi w:val="0"/>
        <w:jc w:val="left"/>
      </w:pPr>
      <w:r>
        <w:t> </w:t>
      </w:r>
    </w:p>
    <w:tbl>
      <w:tblPr>
        <w:tblW w:w="4798" w:type="dxa"/>
        <w:jc w:val="left"/>
        <w:tblInd w:w="0" w:type="dxa"/>
        <w:tblLayout w:type="fixed"/>
        <w:tblCellMar>
          <w:top w:w="28" w:type="dxa"/>
          <w:left w:w="28" w:type="dxa"/>
          <w:bottom w:w="28" w:type="dxa"/>
          <w:right w:w="28" w:type="dxa"/>
        </w:tblCellMar>
      </w:tblPr>
      <w:tblGrid>
        <w:gridCol w:w="3166"/>
        <w:gridCol w:w="146"/>
        <w:gridCol w:w="1486"/>
      </w:tblGrid>
      <w:t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82-3929248</w:t>
            </w:r>
          </w:p>
        </w:tc>
      </w:tr>
      <w:t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c>
          <w:tcPr>
            <w:tcW w:w="316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6005 Hidden Valley Road, Suite 110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92011</w:t>
            </w:r>
          </w:p>
        </w:tc>
      </w:tr>
      <w:t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293-4900</w:t>
      </w:r>
    </w:p>
    <w:p>
      <w:pPr>
        <w:pStyle w:val="TextBody"/>
        <w:pBdr>
          <w:bottom w:val="single" w:sz="4" w:space="1" w:color="000000"/>
        </w:pBdr>
        <w:bidi w:val="0"/>
        <w:jc w:val="center"/>
      </w:pPr>
      <w: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pPr>
      <w: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DSGN</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326"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3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3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3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outstanding shares of the registrant’s common stock, $0.0001 par value per share, as of October 30, 2026, was 64,036,280.</w:t>
      </w:r>
    </w:p>
    <w:p>
      <w:pPr>
        <w:pStyle w:val="TextBody"/>
        <w:pBdr>
          <w:bottom w:val="double" w:sz="4" w:space="1" w:color="000000"/>
        </w:pBdr>
        <w:bidi w:val="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Quarterly Report on Form 10-Q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for clinical development of our program in Friedreich ataxia and announcing data therefrom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side effect profile observed in nonclinical testing and early clinical testing of DT-216P2 being indicative of the side effect profile that may be expected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success, cost and timing of our nonclinical studies, clinical trials and product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potential of our product candidates, and the disease indications for which we intend to develop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timing to advance our product candidates into, and to successfully initiate, conduct, enroll and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our product candidates for clinical development and, if approved, for commercialization, and the timing and costs of such manufacture;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third parties in connection with the development and manufacture of our product candidates, including third parties conducting our nonclinical studies and clinical trials as well as third-party suppliers and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funding for our operations, including funding necessary to initiate and complete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of the potential markets for our product candidates and our ability to serve those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scope, duration and value of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licensors, to obtain, maintain, defend and enforce intellectual property rights protecting our platform technologies and product candidates, and our ability to develop and commercialize our product candidates without infringing the proprietary rights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macroeconomic factors on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expected use of the net proceeds from our initial public offering;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described under Part II, Item 1A, “Risk Factors” of this Quarterly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of this Quarterly Report.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otherwise indicates, references in this Quarterly Report to the terms “Design”, “the Company”, “we”, “our”, and “us” refer to Design Therapeutics, Inc.</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120" w:after="283"/>
        <w:jc w:val="left"/>
        <w:rPr>
          <w:color w:val="000000"/>
        </w:rPr>
      </w:pPr>
      <w:r>
        <w:rPr>
          <w:color w:val="000000"/>
        </w:rPr>
        <w:t>“</w:t>
      </w:r>
      <w:r>
        <w:rPr>
          <w:rFonts w:ascii="Times New Roman" w:hAnsi="Times New Roman"/>
          <w:color w:val="000000"/>
          <w:sz w:val="20"/>
        </w:rPr>
        <w:t>Design Therapeutics,” “Design,” “GeneTAC,” the Design logo and other trademarks, trade names or service marks of Design Therapeutics, Inc. appearing in this Quarterly Report on Form 10-Q are the property of Design Therapeutics, Inc. All other trademarks, trade names and service marks appearing in this Quarterly Report on Form 10-Q are the property of their respective owners.</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SUMMARY OF RISKS ASSOCIATED WITH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Below is a list of the more significant risks associated with our business. This summary does not address all of the risks that we face. Additional discussion of the risks listed in this summary, as well as other risks that we face, are set forth under Part II, Item 1A, “Risk Factors” in this Quarterly Report.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net losses since our inception, and anticipate that we will continue to incur significant losses for the foreseeable future. We may never generate any revenue or become profitable or, if we achieve profitability, may not be able to sustain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with three product candidates in clinical development and with all of our other research programs currently in the nonclinical or discovery stage. We have a limited history of conducting clinical trials to test our product candidates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Nonclinical and clinical development involves a lengthy and expensive process with uncertain timelines and outcomes, and results of nonclinical studies and clinical trials may not be predictive of future trial results. If development of our programs is unsuccessful or delayed, we may be unable to obtain required regulatory approvals and be unable to commercialize our product candidates on a timely basis,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based on novel technologies, which make it difficult to predict the timing, results and cost of product candidate development and likelihood of obtaining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undesirable side effects or have other properties that could delay or prevent their regulatory approval, cause us to suspend or discontinue our clinical trials, limit the commercial profile of an approved label, or result in significant negative consequences following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interim, topline and preliminary data from our nonclinical studies or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 is lengthy, expensive and uncertain, and we may be unable to obtain regulatory approval for our product candidates under applicable regulatory requirements. The denial or delay of any such approval would delay commercialization of our product candidates and adversely impact our ability to generate revenue, our business and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health epidemic or pandemic could adversely impact our business and affect our operations, as well as the business or operations of our manufacturers or other third parties with whom we conduct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third parties to conduct, supervise, and monitor our clinical trials and perform some of our research and nonclinical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for the manufacturing and supply of our product candidates for use in nonclinical testing and clinical trials, which supply may become limited or interrupted or may not be of satisfactory quality and quantity.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approved products may fail to achieve the degree of market acceptance by physicians, patients, hospitals, healthcare payors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any of our product candidates are smaller than we believe they are, our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benefits of any acquisitions, in-license or strategic alliances that we enter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wish to form collaborations in the future with respect to our product candidates, but may not be able to do so or to realize the potential benefits of such transactions, which may cause us to alter or delay our development and commercialization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and current and future relationships with investigators, health care professionals, consultants, third-party payors and customers are subject, directly or indirectly, to federal and state healthcare fraud and abuse laws, transparency laws and other healthcare laws and regulations. If we are unable to comply, or have not fully complied, with such laws, we could face substantial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trade secrets and proprietary know-how which can be difficult to trace and enforce and, if we are unable to protect the confidentiality of our trade secrets, our business and competitive position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could be subject to volatility related or unrelated to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pPr>
            <w:hyperlink w:anchor="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pPr>
            <w:hyperlink w:anchor="statements_operations">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pPr>
            <w:hyperlink w:anchor="statements_comprehensive_loss">
              <w:r>
                <w:rPr>
                  <w:rStyle w:val="InternetLink"/>
                  <w:rFonts w:ascii="Times New Roman" w:hAnsi="Times New Roman"/>
                  <w:color w:val="0000FF"/>
                  <w:sz w:val="20"/>
                  <w:u w:val="single"/>
                </w:rPr>
                <w:t>Condensed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pPr>
            <w:hyperlink w:anchor="statements_convertible_preferred_stock_s">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210"/>
              <w:jc w:val="left"/>
            </w:pPr>
            <w:hyperlink w:anchor="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10"/>
              <w:jc w:val="left"/>
            </w:pPr>
            <w:hyperlink w:anchor="notes_to_financial_statement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par value data)</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191"/>
        <w:gridCol w:w="146"/>
        <w:gridCol w:w="216"/>
        <w:gridCol w:w="862"/>
        <w:gridCol w:w="166"/>
        <w:gridCol w:w="146"/>
        <w:gridCol w:w="213"/>
        <w:gridCol w:w="851"/>
        <w:gridCol w:w="414"/>
      </w:tblGrid>
      <w:tr>
        <w:tc>
          <w:tcPr>
            <w:tcW w:w="7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 (including related party amounts of $890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200,000,000 shares authorized at September 30, 2026 and December 31, 2025; 63,785,058 and 60,398,051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(297,006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sz w:val="20"/>
        </w:rPr>
      </w:pPr>
      <w:bookmarkStart w:id="5" w:name="statements_operations"/>
      <w:bookmarkEnd w:id="5"/>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related party amounts of $0, $228, $72 and $686,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(including related party amounts of $60, $130, $205 and $395,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63,035,529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56,950,999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62,330,974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56,856,779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bookmarkStart w:id="6" w:name="statements_comprehensive_loss"/>
      <w:bookmarkEnd w:id="6"/>
      <w:r>
        <w:rPr>
          <w:rFonts w:ascii="Times New Roman" w:hAnsi="Times New Roman"/>
          <w:b/>
          <w:color w:val="000000"/>
          <w:sz w:val="20"/>
        </w:rPr>
        <w:t>CONDENSED STATEMENTS OF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01"/>
        <w:gridCol w:w="146"/>
        <w:gridCol w:w="249"/>
        <w:gridCol w:w="873"/>
        <w:gridCol w:w="196"/>
        <w:gridCol w:w="172"/>
        <w:gridCol w:w="249"/>
        <w:gridCol w:w="873"/>
        <w:gridCol w:w="166"/>
        <w:gridCol w:w="146"/>
        <w:gridCol w:w="242"/>
        <w:gridCol w:w="847"/>
        <w:gridCol w:w="190"/>
        <w:gridCol w:w="167"/>
        <w:gridCol w:w="242"/>
        <w:gridCol w:w="847"/>
        <w:gridCol w:w="399"/>
      </w:tblGrid>
      <w:t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c>
          <w:tcPr>
            <w:tcW w:w="4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(60,174</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(53,912</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sz w:val="20"/>
        </w:rPr>
      </w:pPr>
      <w:bookmarkStart w:id="7" w:name="statements_convertible_preferred_stock_s"/>
      <w:bookmarkEnd w:id="7"/>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138"/>
        <w:gridCol w:w="146"/>
        <w:gridCol w:w="146"/>
        <w:gridCol w:w="766"/>
        <w:gridCol w:w="146"/>
        <w:gridCol w:w="146"/>
        <w:gridCol w:w="196"/>
        <w:gridCol w:w="375"/>
        <w:gridCol w:w="146"/>
        <w:gridCol w:w="146"/>
        <w:gridCol w:w="181"/>
        <w:gridCol w:w="586"/>
        <w:gridCol w:w="146"/>
        <w:gridCol w:w="146"/>
        <w:gridCol w:w="278"/>
        <w:gridCol w:w="743"/>
        <w:gridCol w:w="151"/>
        <w:gridCol w:w="146"/>
        <w:gridCol w:w="194"/>
        <w:gridCol w:w="677"/>
        <w:gridCol w:w="151"/>
        <w:gridCol w:w="146"/>
        <w:gridCol w:w="214"/>
        <w:gridCol w:w="697"/>
        <w:gridCol w:w="398"/>
      </w:tblGrid>
      <w:tr>
        <w:tc>
          <w:tcPr>
            <w:tcW w:w="3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62,580,096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201,858</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in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1,133,972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17,209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(20,288</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63,785,058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(355,095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202,196</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60,398,051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212,503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in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3,140,522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37,116</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(2,085</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(58,089</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63,785,058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(355,095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202,196</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56,948,126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213,037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(16,997</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56,963,757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199,720</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56,754,341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242,097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(53,795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56,963,757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199,720</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688"/>
        <w:gridCol w:w="146"/>
        <w:gridCol w:w="229"/>
        <w:gridCol w:w="849"/>
        <w:gridCol w:w="179"/>
        <w:gridCol w:w="158"/>
        <w:gridCol w:w="229"/>
        <w:gridCol w:w="914"/>
        <w:gridCol w:w="813"/>
      </w:tblGrid>
      <w:tr>
        <w:tc>
          <w:tcPr>
            <w:tcW w:w="6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on investment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8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(47,333</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(42,392</w:t>
            </w:r>
          </w:p>
        </w:tc>
        <w:tc>
          <w:tcPr>
            <w:tcW w:w="8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(94,808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(204,155</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238,810</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through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costs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right-of-use-asset and operating lease liability related to lease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pPr>
      <w:r>
        <w:t> </w:t>
      </w:r>
    </w:p>
    <w:p>
      <w:pPr>
        <w:pStyle w:val="TextBody"/>
        <w:bidi w:val="0"/>
        <w:spacing w:before="240" w:after="283"/>
        <w:jc w:val="left"/>
        <w:rPr>
          <w:rFonts w:ascii="Times New Roman" w:hAnsi="Times New Roman"/>
          <w:b/>
          <w:color w:val="000000"/>
          <w:sz w:val="20"/>
        </w:rPr>
      </w:pPr>
      <w:bookmarkStart w:id="10" w:name="organization"/>
      <w:bookmarkEnd w:id="10"/>
      <w:r>
        <w:rPr>
          <w:rFonts w:ascii="Times New Roman" w:hAnsi="Times New Roman"/>
          <w:b/>
          <w:color w:val="000000"/>
          <w:sz w:val="20"/>
        </w:rPr>
        <w:t>1. Organization</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Design Therapeutics, Inc. (the “Company”) was incorporated in Delaware in December 2017 and is based in Carlsbad, California. The Company is a clinical-stage biopharmaceutical company pioneering the research and development of GeneTAC</w:t>
      </w:r>
      <w:r>
        <w:rPr>
          <w:rFonts w:ascii="Times New Roman" w:hAnsi="Times New Roman"/>
          <w:color w:val="000000"/>
          <w:sz w:val="13"/>
        </w:rPr>
        <w:t xml:space="preserve">® </w:t>
      </w:r>
      <w:r>
        <w:rPr>
          <w:rFonts w:ascii="Times New Roman" w:hAnsi="Times New Roman"/>
          <w:color w:val="000000"/>
          <w:sz w:val="20"/>
        </w:rPr>
        <w:t>molecules, which are a novel class of small-molecule gene targeted chimera therapeutic candidates designed to be disease-modifying by addressing the underlying cause of diseases caused by inherited nucleotide repeat expansion mutations. The Company’s lead product candidate is in Friedreich ataxia (FA), its second product candidate is in Fuchs endothelial corneal dystrophy (FECD), its third product candidate is in myotonic dystrophy type-1 (DM1), and it is also advancing GeneTAC</w:t>
      </w:r>
      <w:r>
        <w:rPr>
          <w:rFonts w:ascii="Times New Roman" w:hAnsi="Times New Roman"/>
          <w:color w:val="000000"/>
          <w:sz w:val="13"/>
        </w:rPr>
        <w:t xml:space="preserve">® </w:t>
      </w:r>
      <w:r>
        <w:rPr>
          <w:rFonts w:ascii="Times New Roman" w:hAnsi="Times New Roman"/>
          <w:color w:val="000000"/>
          <w:sz w:val="20"/>
        </w:rPr>
        <w:t>programs to address other diseases.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which contemplates the realization of assets and the satisfaction of liabilities in the normal course of business. The Company has incurred net operating losses since inception and had an accumulated deficit of $355.1 million as of September 30, 2026. The Company had cash, cash equivalents and investment securities of $208.6 million as of September 30, 2026, and has not generated positive cash flow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expects to incur net losses for the foreseeable future. There can be no assurance that the Company will ever earn revenues or achieve profitability, or if achieved, that they will be sustained on a continuing basis. In addition, the research, product development and clinical development activities as well as the commercialization of the Company's products,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 The Company's currently available cash, cash equivalents and investment securities as of September 30, 2026 are sufficient to meet its anticipated cash requirements for more than 12 months following the date the financial statements are issued. </w:t>
      </w:r>
    </w:p>
    <w:p>
      <w:pPr>
        <w:pStyle w:val="TextBody"/>
        <w:bidi w:val="0"/>
        <w:spacing w:before="360" w:after="283"/>
        <w:jc w:val="left"/>
        <w:rPr>
          <w:rFonts w:ascii="Times New Roman" w:hAnsi="Times New Roman"/>
          <w:b/>
          <w:color w:val="000000"/>
          <w:sz w:val="20"/>
        </w:rPr>
      </w:pPr>
      <w:bookmarkStart w:id="11" w:name="basis_of_presentation_and_summary"/>
      <w:bookmarkEnd w:id="11"/>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financial statements have been prepared in accordance with U.S. generally accepted accounting principles and following the requirements of the United States Securities and Exchange Commission (“SEC”) for interim reporting. The Company's financial statements include all adjustments, consisting of only normal recurring adjustments, which in the opinion of management are necessary to present fairly the Company’s financial position as of the reporting date and results of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the Company’s financial statements requires it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research and development expenses.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which is intended to enhance transparency into the nature and function of expenses. The amendments require that on an annual and interim basis, entities disclose disaggregated operating expense information about specific expense categories. The amendments are effective for fiscal years beginning after December 15, 2026, and for interim periods within fiscal years beginning after December 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2027. Early adoption is permitted and the amendments may be applied either prospectively or retrospectively. The Company is currently evaluating the impact that the updated standard will have on its financial statement disclosures.</w:t>
      </w:r>
    </w:p>
    <w:p>
      <w:pPr>
        <w:pStyle w:val="TextBody"/>
        <w:bidi w:val="0"/>
        <w:spacing w:before="360" w:after="283"/>
        <w:jc w:val="left"/>
        <w:rPr>
          <w:rFonts w:ascii="Times New Roman" w:hAnsi="Times New Roman"/>
          <w:sz w:val="20"/>
        </w:rPr>
      </w:pPr>
      <w:bookmarkStart w:id="12" w:name="net_loss_per_share"/>
      <w:bookmarkEnd w:id="12"/>
      <w:r>
        <w:rPr>
          <w:rFonts w:ascii="Times New Roman" w:hAnsi="Times New Roman"/>
          <w:b/>
          <w:color w:val="000000"/>
          <w:sz w:val="20"/>
        </w:rPr>
        <w:t>3. Net Loss</w:t>
      </w:r>
      <w:r>
        <w:rPr>
          <w:rFonts w:ascii="Times New Roman" w:hAnsi="Times New Roman"/>
          <w:color w:val="000000"/>
          <w:sz w:val="20"/>
        </w:rPr>
        <w:t xml:space="preserve"> </w:t>
      </w:r>
      <w:r>
        <w:rPr>
          <w:rFonts w:ascii="Times New Roman" w:hAnsi="Times New Roman"/>
          <w:b/>
          <w:color w:val="000000"/>
          <w:sz w:val="20"/>
        </w:rPr>
        <w:t>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without consideration for potentially dilutive securities. Diluted net loss per share is computed by dividing the net loss by the weighted average number of common shares and dilutive common stock equivalents outstanding for the period determined using the treasury-stock method. Dilutive common stock equivalents are comprised of stock options outstanding under the Company’s equity incentive plans and employee stock purchase rights under the Company’s 2021 Employee Stock Purchase Plan (“ESPP”), as applicable. For all periods presented, there is no difference in the number of shares used to calculate basic and diluted shares outstanding due to the Company's net loss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outstanding, potentially dilutive securities that have been excluded in the calculation of diluted net loss per share because their inclusion would be anti-dilutive:</w:t>
      </w:r>
    </w:p>
    <w:p>
      <w:pPr>
        <w:pStyle w:val="TextBody"/>
        <w:bidi w:val="0"/>
        <w:jc w:val="left"/>
      </w:pPr>
      <w:r>
        <w:t> </w:t>
      </w:r>
    </w:p>
    <w:tbl>
      <w:tblPr>
        <w:tblW w:w="5789" w:type="dxa"/>
        <w:jc w:val="left"/>
        <w:tblInd w:w="0" w:type="dxa"/>
        <w:tblLayout w:type="fixed"/>
        <w:tblCellMar>
          <w:top w:w="28" w:type="dxa"/>
          <w:left w:w="28" w:type="dxa"/>
          <w:bottom w:w="28" w:type="dxa"/>
          <w:right w:w="28" w:type="dxa"/>
        </w:tblCellMar>
      </w:tblPr>
      <w:tblGrid>
        <w:gridCol w:w="2596"/>
        <w:gridCol w:w="146"/>
        <w:gridCol w:w="146"/>
        <w:gridCol w:w="1036"/>
        <w:gridCol w:w="146"/>
        <w:gridCol w:w="146"/>
        <w:gridCol w:w="146"/>
        <w:gridCol w:w="1036"/>
        <w:gridCol w:w="391"/>
      </w:tblGrid>
      <w:t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17,806,523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13,757,773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17,852,857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13,776,213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360" w:after="283"/>
        <w:jc w:val="left"/>
        <w:rPr>
          <w:rFonts w:ascii="Times New Roman" w:hAnsi="Times New Roman"/>
          <w:b/>
          <w:color w:val="000000"/>
          <w:sz w:val="20"/>
        </w:rPr>
      </w:pPr>
      <w:bookmarkStart w:id="13" w:name="fair_value_measurements"/>
      <w:bookmarkEnd w:id="13"/>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there is little or no market data, which require the reporting entity to develop its own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financial instruments measured at fair value on a recurring basis at September 30, 2026 and December 31, 2025 (in thousands):</w:t>
      </w:r>
    </w:p>
    <w:p>
      <w:pPr>
        <w:pStyle w:val="TextBody"/>
        <w:bidi w:val="0"/>
        <w:jc w:val="left"/>
      </w:pPr>
      <w:r>
        <w:t> </w:t>
      </w:r>
    </w:p>
    <w:tbl>
      <w:tblPr>
        <w:tblW w:w="8898" w:type="dxa"/>
        <w:jc w:val="left"/>
        <w:tblInd w:w="0" w:type="dxa"/>
        <w:tblLayout w:type="fixed"/>
        <w:tblCellMar>
          <w:top w:w="28" w:type="dxa"/>
          <w:left w:w="28" w:type="dxa"/>
          <w:bottom w:w="28" w:type="dxa"/>
          <w:right w:w="28" w:type="dxa"/>
        </w:tblCellMar>
      </w:tblPr>
      <w:tblGrid>
        <w:gridCol w:w="3141"/>
        <w:gridCol w:w="146"/>
        <w:gridCol w:w="211"/>
        <w:gridCol w:w="781"/>
        <w:gridCol w:w="146"/>
        <w:gridCol w:w="146"/>
        <w:gridCol w:w="239"/>
        <w:gridCol w:w="886"/>
        <w:gridCol w:w="146"/>
        <w:gridCol w:w="146"/>
        <w:gridCol w:w="221"/>
        <w:gridCol w:w="710"/>
        <w:gridCol w:w="146"/>
        <w:gridCol w:w="146"/>
        <w:gridCol w:w="414"/>
        <w:gridCol w:w="682"/>
        <w:gridCol w:w="591"/>
      </w:tblGrid>
      <w:t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End of Period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pBdr>
          <w:bottom w:val="single" w:sz="4" w:space="1" w:color="000000"/>
        </w:pBdr>
        <w:bidi w:val="0"/>
        <w:jc w:val="left"/>
      </w:pPr>
      <w:r>
        <w:t> </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cash and cash equivalents on the accompanying balance sheets.</w:t>
      </w:r>
    </w:p>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Interest bearing money market accounts are valued at amortized cost, which approximates fair value. The carrying value of the Company’s cash, accounts payable and accrued liabilities are considered to be representative of their respective fair values due to the short-term nature of those instruments. The Company’s investment securities, which may include money market accounts, money market funds, certificates of deposits, U.S. Treasury securities, and high quality, marketable debt instruments of corporations and government sponsored enterprises, are measured at fair value in accordance with the fair value hierarchy. The Company obtains the fair value of its available-for-sale debt securities from a professional pricing service. Level 2 securities are valued using quoted market prices for similar instruments, non-binding market prices that are corroborated by observable market data and include our investments in marketable debt instruments of government sponsored enterprises. None of the Company’s non-financial assets or liabilities are recorded at fair value on a non-recurring basis and no transfers between levels have occurred during the periods presented.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14" w:name="investment_securities"/>
      <w:bookmarkEnd w:id="14"/>
      <w:r>
        <w:rPr>
          <w:rFonts w:ascii="Times New Roman" w:hAnsi="Times New Roman"/>
          <w:b/>
          <w:color w:val="000000"/>
          <w:sz w:val="20"/>
        </w:rPr>
        <w:t>5. Investment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policy defines allowable investment securities and establishes guidelines relating to credit quality, diversification, and maturities of its investments to preserve principal and maintain liquidity. The Company’s investment securities consisted of the following at September 30, 2026 and December 31, 2025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227"/>
        <w:gridCol w:w="346"/>
        <w:gridCol w:w="1294"/>
        <w:gridCol w:w="146"/>
        <w:gridCol w:w="211"/>
        <w:gridCol w:w="781"/>
        <w:gridCol w:w="146"/>
        <w:gridCol w:w="146"/>
        <w:gridCol w:w="295"/>
        <w:gridCol w:w="591"/>
        <w:gridCol w:w="146"/>
        <w:gridCol w:w="146"/>
        <w:gridCol w:w="222"/>
        <w:gridCol w:w="664"/>
        <w:gridCol w:w="166"/>
        <w:gridCol w:w="146"/>
        <w:gridCol w:w="324"/>
        <w:gridCol w:w="532"/>
        <w:gridCol w:w="146"/>
        <w:gridCol w:w="146"/>
        <w:gridCol w:w="211"/>
        <w:gridCol w:w="781"/>
        <w:gridCol w:w="392"/>
      </w:tblGrid>
      <w:tr>
        <w:tc>
          <w:tcPr>
            <w:tcW w:w="22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193,356</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102,532</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2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reviews its investments at each reporting date to identify and evaluate whether a decline in fair value below the amortized cost basis of available-for-sale securities is due to credit-related factors and determines if such unrealized losses are the result of credit losses that require impairment. Factors considered in determining whether an unrealized loss is the result of a credit loss or other factors include the extent to which the fair value is less than the cost basis, any changes to the rating of the security by a rating agency, the financial condition and near-term prospects of the issuer, any historical failure of the issuer to make scheduled interest or principal payments, any adverse legal or regulatory events affecting the issuer or issuer’s industry, any significant deterioration in economic condition and the Company’s intent and ability to hold the investment for a period of time sufficient to allow for any anticipated recovery in market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63 and 4 securities in an unrealized loss position at September 30, 2026 and December 31, 2025, respectively. The Company determined that unrealized losses on its available-for-sale investment securities were primarily attributable to changes in interest rates. Each security remained at a high credit quality rating. Further, there had been no adverse conditions noted for any of the issuers and the Company does not intend to sell any of the securities prior to maturity. As such, an allowance for credit losses has not been recognized as of September 30, 2026 or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available-for-sale investments that were in an unrealized loss position as of September 30, 2026 and December 31, 2025, aggregated by security type and length of time in a continuous unrealized loss position (in thousands):</w:t>
      </w:r>
    </w:p>
    <w:p>
      <w:pPr>
        <w:pStyle w:val="TextBody"/>
        <w:bidi w:val="0"/>
        <w:jc w:val="left"/>
      </w:pPr>
      <w:r>
        <w:t> </w:t>
      </w:r>
    </w:p>
    <w:tbl>
      <w:tblPr>
        <w:tblW w:w="10152" w:type="dxa"/>
        <w:jc w:val="left"/>
        <w:tblInd w:w="0" w:type="dxa"/>
        <w:tblLayout w:type="fixed"/>
        <w:tblCellMar>
          <w:top w:w="28" w:type="dxa"/>
          <w:left w:w="28" w:type="dxa"/>
          <w:bottom w:w="28" w:type="dxa"/>
          <w:right w:w="28" w:type="dxa"/>
        </w:tblCellMar>
      </w:tblPr>
      <w:tblGrid>
        <w:gridCol w:w="2941"/>
        <w:gridCol w:w="146"/>
        <w:gridCol w:w="211"/>
        <w:gridCol w:w="781"/>
        <w:gridCol w:w="146"/>
        <w:gridCol w:w="146"/>
        <w:gridCol w:w="222"/>
        <w:gridCol w:w="664"/>
        <w:gridCol w:w="166"/>
        <w:gridCol w:w="146"/>
        <w:gridCol w:w="646"/>
        <w:gridCol w:w="1064"/>
        <w:gridCol w:w="146"/>
        <w:gridCol w:w="146"/>
        <w:gridCol w:w="211"/>
        <w:gridCol w:w="781"/>
        <w:gridCol w:w="146"/>
        <w:gridCol w:w="146"/>
        <w:gridCol w:w="222"/>
        <w:gridCol w:w="664"/>
        <w:gridCol w:w="411"/>
      </w:tblGrid>
      <w:t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5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interest receivable on available-for-sale investment securities, included in “Prepaid expenses and other current assets” on the Company’s balance sheets, was $1.7 million as of September 30, 2026 and December 31, 2025.</w:t>
      </w:r>
    </w:p>
    <w:p>
      <w:pPr>
        <w:pStyle w:val="TextBody"/>
        <w:bidi w:val="0"/>
        <w:spacing w:before="360" w:after="283"/>
        <w:jc w:val="left"/>
        <w:rPr>
          <w:rFonts w:ascii="Times New Roman" w:hAnsi="Times New Roman"/>
          <w:b/>
          <w:color w:val="000000"/>
          <w:sz w:val="20"/>
        </w:rPr>
      </w:pPr>
      <w:bookmarkStart w:id="15" w:name="balance_sheet_details"/>
      <w:bookmarkEnd w:id="15"/>
      <w:r>
        <w:rPr>
          <w:rFonts w:ascii="Times New Roman" w:hAnsi="Times New Roman"/>
          <w:b/>
          <w:color w:val="000000"/>
          <w:sz w:val="20"/>
        </w:rPr>
        <w:t>6.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pPr>
      <w:r>
        <w:t> </w:t>
      </w:r>
    </w:p>
    <w:tbl>
      <w:tblPr>
        <w:tblW w:w="4670" w:type="dxa"/>
        <w:jc w:val="left"/>
        <w:tblInd w:w="0" w:type="dxa"/>
        <w:tblLayout w:type="fixed"/>
        <w:tblCellMar>
          <w:top w:w="28" w:type="dxa"/>
          <w:left w:w="28" w:type="dxa"/>
          <w:bottom w:w="28" w:type="dxa"/>
          <w:right w:w="28" w:type="dxa"/>
        </w:tblCellMar>
      </w:tblPr>
      <w:tblGrid>
        <w:gridCol w:w="1606"/>
        <w:gridCol w:w="146"/>
        <w:gridCol w:w="307"/>
        <w:gridCol w:w="833"/>
        <w:gridCol w:w="146"/>
        <w:gridCol w:w="146"/>
        <w:gridCol w:w="294"/>
        <w:gridCol w:w="801"/>
        <w:gridCol w:w="391"/>
      </w:tblGrid>
      <w:t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6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Property and equipment consisted of the following (in thousands): </w:t>
      </w:r>
    </w:p>
    <w:p>
      <w:pPr>
        <w:pStyle w:val="TextBody"/>
        <w:bidi w:val="0"/>
        <w:jc w:val="left"/>
      </w:pPr>
      <w:r>
        <w:t> </w:t>
      </w:r>
    </w:p>
    <w:tbl>
      <w:tblPr>
        <w:tblW w:w="6015" w:type="dxa"/>
        <w:jc w:val="left"/>
        <w:tblInd w:w="0" w:type="dxa"/>
        <w:tblLayout w:type="fixed"/>
        <w:tblCellMar>
          <w:top w:w="28" w:type="dxa"/>
          <w:left w:w="28" w:type="dxa"/>
          <w:bottom w:w="28" w:type="dxa"/>
          <w:right w:w="28" w:type="dxa"/>
        </w:tblCellMar>
      </w:tblPr>
      <w:tblGrid>
        <w:gridCol w:w="2911"/>
        <w:gridCol w:w="146"/>
        <w:gridCol w:w="285"/>
        <w:gridCol w:w="855"/>
        <w:gridCol w:w="166"/>
        <w:gridCol w:w="146"/>
        <w:gridCol w:w="274"/>
        <w:gridCol w:w="821"/>
        <w:gridCol w:w="411"/>
      </w:tblGrid>
      <w:t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8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8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expenses and current liabilities consisted of the following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253"/>
        <w:gridCol w:w="146"/>
        <w:gridCol w:w="256"/>
        <w:gridCol w:w="822"/>
        <w:gridCol w:w="146"/>
        <w:gridCol w:w="146"/>
        <w:gridCol w:w="248"/>
        <w:gridCol w:w="796"/>
        <w:gridCol w:w="392"/>
      </w:tblGrid>
      <w:tr>
        <w:tc>
          <w:tcPr>
            <w:tcW w:w="7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7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 (including related party amounts of $890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7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the business activities at the consolidated level and operates in one operating and reportable segment. The Company’s CODM is its chief executive officer. The CODM primarily utilizes long-range financial projections and cash runway in order to allocate resources and to assess performance. As of September 30, 2026, the Company has no revenue and all the Company’s long-lived assets were located within the United States. The CODM is regularly provided with the following significant segment expenses:</w:t>
      </w:r>
    </w:p>
    <w:p>
      <w:pPr>
        <w:pStyle w:val="TextBody"/>
        <w:bidi w:val="0"/>
        <w:jc w:val="left"/>
      </w:pPr>
      <w:r>
        <w:t> </w:t>
      </w:r>
    </w:p>
    <w:tbl>
      <w:tblPr>
        <w:tblW w:w="9327" w:type="dxa"/>
        <w:jc w:val="left"/>
        <w:tblInd w:w="0" w:type="dxa"/>
        <w:tblLayout w:type="fixed"/>
        <w:tblCellMar>
          <w:top w:w="28" w:type="dxa"/>
          <w:left w:w="28" w:type="dxa"/>
          <w:bottom w:w="28" w:type="dxa"/>
          <w:right w:w="28" w:type="dxa"/>
        </w:tblCellMar>
      </w:tblPr>
      <w:tblGrid>
        <w:gridCol w:w="3201"/>
        <w:gridCol w:w="146"/>
        <w:gridCol w:w="256"/>
        <w:gridCol w:w="896"/>
        <w:gridCol w:w="202"/>
        <w:gridCol w:w="177"/>
        <w:gridCol w:w="256"/>
        <w:gridCol w:w="896"/>
        <w:gridCol w:w="166"/>
        <w:gridCol w:w="146"/>
        <w:gridCol w:w="248"/>
        <w:gridCol w:w="866"/>
        <w:gridCol w:w="195"/>
        <w:gridCol w:w="171"/>
        <w:gridCol w:w="248"/>
        <w:gridCol w:w="866"/>
        <w:gridCol w:w="391"/>
      </w:tblGrid>
      <w:t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program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0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pPr>
      <w:r>
        <w:t> </w:t>
      </w:r>
    </w:p>
    <w:p>
      <w:pPr>
        <w:pStyle w:val="TextBody"/>
        <w:bidi w:val="0"/>
        <w:spacing w:lineRule="auto" w:line="360"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included in Segment net loss includes professional services, consulting and other outside services expenses, depreciation expense, insurance, facilities and other overhead items.</w:t>
      </w:r>
    </w:p>
    <w:p>
      <w:pPr>
        <w:pStyle w:val="TextBody"/>
        <w:bidi w:val="0"/>
        <w:spacing w:before="360" w:after="283"/>
        <w:jc w:val="left"/>
        <w:rPr>
          <w:rFonts w:ascii="Times New Roman" w:hAnsi="Times New Roman"/>
          <w:b/>
          <w:color w:val="000000"/>
          <w:sz w:val="20"/>
        </w:rPr>
      </w:pPr>
      <w:bookmarkStart w:id="16" w:name="commitments_and_contingencies"/>
      <w:bookmarkEnd w:id="16"/>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subject to claims or suits arising in the ordinary course of business. The Company accrues a liability for such matters when it is probable that the future expenditures will be made and such expenditures can be reasonably estimated. The Company had no such contingent liabilities as of September 30, 2026 or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17" w:name="license_agreement"/>
      <w:bookmarkEnd w:id="17"/>
      <w:r>
        <w:rPr>
          <w:rFonts w:ascii="Times New Roman" w:hAnsi="Times New Roman"/>
          <w:b/>
          <w:color w:val="000000"/>
          <w:sz w:val="20"/>
        </w:rPr>
        <w:t>9.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license agreement pursuant to which it received exclusive, worldwide, royalty-bearing, sublicensable rights to certain patents and technology to be used in the development and commercialization of certain products.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2025, the Company recorded $0.1 million to research and development expenses related to regulatory milestones, which was included in accrued expenses and other current liabilities as of December 31, 2025 and paid during the three and nine months ended September 30, 2026. There were no additional payments or royalties recorded for the three and nine months ended September 30, 2026. The Company may be obligated to make aggregate regulatory milestone payments of up to $0.8 million for each product incorporating licensed patent rights and pay a royalty on worldwide net sales on a product-by-product basis. The Company will recognize these milestone payments and royalties when paid or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terminate the license agreement with 60 days’ written notice and each party may terminate the license agreement upon 30 days’ written notice for certain breaches of the agreement that remain uncured following 60 days’ notice to the other party of such breach. Unless terminated earlier by the parties, the term of the license agreement will continue until the last valid patent claim expires.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Wisconsin Alumni Research Foundation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2019, the Company entered into a Human Therapeutics Exclusive License Agreement, as amended in May 2026, (the “License Agreement”) with the Wisconsin Alumni Research Foundation (“WARF”). Under the License Agreement, the Company licensed the exclusive, worldwide, royalty-bearing, sublicensable rights to certain WARF patents and the nonexclusive worldwide rights to certain know-how to develop and commercialize products for the prevention, diagnosis and treatment of disease. As consideration for the license, the Company agreed to pay an upfront fee of $0.3 million, which the Company immediately expensed as research and development expense in its statements of operations as there was no alternative future use for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pursuant to the License Agreement, the Company paid $0.1 million upon the acceptance of an Investigational New Drug Application in the United States. The Company will be required to make further aggregate milestone payments of up to $17.5 million upon achievement of certain other regulatory and commercial milestones. The Company may also be required to pay royalties based on annual net product sales in the low single digits on its or its sublicensees’ net product sales on a country-by-country and product-by-product basis, and is subject to a minimum royalty of $0.1 million per calendar year upon first commercial product sale. Further, the Company may be required to pay sublicense fees in the mid-single digits percentage for fees, royalties or other payments earned from the granting of sublicenses to the WARF patents and know-how. The Company will recognize these milestone payments and royalties when paid or payable. There were no additional payments or royalties recorded through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responsible for reimbursing WARF for costs incurred in connection with prosecuting and maintaining patent rights that are specific to the License Agreement. Expenses recognized in connection with legal patent fees under this License Agreement were immaterial for the three and nine months ended September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terminate the License Agreement with 90 days’ written notice or for certain breaches of the agreement. WARF may terminate the License Agreement with 90 days’ written notice if first commercial sale does not occur before December 31, 2031. Unless terminated earlier by the parties, the term of the License Agreement will continue until the last licensed patent expires in all countries.</w:t>
      </w:r>
    </w:p>
    <w:p>
      <w:pPr>
        <w:pStyle w:val="TextBody"/>
        <w:bidi w:val="0"/>
        <w:spacing w:before="360" w:after="283"/>
        <w:jc w:val="left"/>
        <w:rPr>
          <w:rFonts w:ascii="Times New Roman" w:hAnsi="Times New Roman"/>
          <w:b/>
          <w:color w:val="000000"/>
          <w:sz w:val="20"/>
        </w:rPr>
      </w:pPr>
      <w:bookmarkStart w:id="18" w:name="stockholders_equity"/>
      <w:bookmarkEnd w:id="18"/>
      <w:r>
        <w:rPr>
          <w:rFonts w:ascii="Times New Roman" w:hAnsi="Times New Roman"/>
          <w:b/>
          <w:color w:val="000000"/>
          <w:sz w:val="20"/>
        </w:rPr>
        <w:t>10.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the Company filed a shelf registration statement on Form S-3 (the “2025 Shelf Registration Statement”). The 2025 Shelf Registration Statement permits: (i) the offering, issuance and sale by the Company of up to a maximum aggregate offering price of $300.0 million of common stock, preferred stock, debt securities and warrants in one or more offerings and in any combination; and (ii) the offering, issuance and sale by the Company of up to a maximum aggregate offering price of $100.0 million of our common stock that may be issued and sold under an “at-the-market” sales agreement (the “ATM Program”). Promptly following the filing of this Quarterly Report on Form 10-Q, the Company intends to file a prospectus supplement with the Securities and Exchange Commission to increase the maximum aggregate offering price that may be issued and sold under its ATM Program to $200.0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“ATM Prospectus Supplement”). The common stock that may be issued and sold under the ATM Program is included in the $300.0 million of securities that may be issued and sold under the 2025 Shelf Registration Statement. During the nine months ended September 30, 2026, the Company sold an aggregate of 3,140,522 shares of its common stock pursuant to the ATM Program for aggregate net proceeds of approximately $37.1 million. As of September 30, 2026, the Company had $36.4 million available for future issuances of common stock pursuant to the ATM Program, which does not take into account the additional amount that will become available upon the Company’s filing of the ATM Prospectus Supplement.</w:t>
      </w:r>
    </w:p>
    <w:p>
      <w:pPr>
        <w:pStyle w:val="TextBody"/>
        <w:bidi w:val="0"/>
        <w:spacing w:before="360" w:after="283"/>
        <w:jc w:val="left"/>
        <w:rPr>
          <w:rFonts w:ascii="Times New Roman" w:hAnsi="Times New Roman"/>
          <w:b/>
          <w:color w:val="000000"/>
          <w:sz w:val="20"/>
        </w:rPr>
      </w:pPr>
      <w:bookmarkStart w:id="19" w:name="stock_based_compensation"/>
      <w:bookmarkEnd w:id="19"/>
      <w:r>
        <w:rPr>
          <w:rFonts w:ascii="Times New Roman" w:hAnsi="Times New Roman"/>
          <w:b/>
          <w:color w:val="000000"/>
          <w:sz w:val="20"/>
        </w:rPr>
        <w:t>11.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Award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available for issuance under the Company's 2021 Equity Incentive Plan automatically increases on January 1 of each calendar year through January 1, 2031, in an amount equal to 5% of the total number of shares of the Company’s common stock outstanding on the last day of the calendar month before the date of each automatic increase, or a lesser number of shares determined by the Company’s board of directors. As of September 30, 2026, the total number of shares available for future issuance was 4,277,291.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stock option activity for the nine months ended September 30, 2026:</w:t>
      </w:r>
    </w:p>
    <w:p>
      <w:pPr>
        <w:pStyle w:val="TextBody"/>
        <w:bidi w:val="0"/>
        <w:jc w:val="left"/>
      </w:pPr>
      <w:r>
        <w:t> </w:t>
      </w:r>
    </w:p>
    <w:tbl>
      <w:tblPr>
        <w:tblW w:w="7507"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789"/>
        <w:gridCol w:w="1746"/>
        <w:gridCol w:w="391"/>
      </w:tblGrid>
      <w:t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13,757,773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17,806,523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Stock-based compensation expense has been reported in the Company's condensed statements of operations as follows (in thousands):</w:t>
      </w:r>
    </w:p>
    <w:p>
      <w:pPr>
        <w:pStyle w:val="TextBody"/>
        <w:bidi w:val="0"/>
        <w:jc w:val="left"/>
      </w:pPr>
      <w:r>
        <w:t> </w:t>
      </w:r>
    </w:p>
    <w:tbl>
      <w:tblPr>
        <w:tblW w:w="8418" w:type="dxa"/>
        <w:jc w:val="left"/>
        <w:tblInd w:w="0" w:type="dxa"/>
        <w:tblLayout w:type="fixed"/>
        <w:tblCellMar>
          <w:top w:w="28" w:type="dxa"/>
          <w:left w:w="28" w:type="dxa"/>
          <w:bottom w:w="28" w:type="dxa"/>
          <w:right w:w="28" w:type="dxa"/>
        </w:tblCellMar>
      </w:tblPr>
      <w:tblGrid>
        <w:gridCol w:w="2311"/>
        <w:gridCol w:w="146"/>
        <w:gridCol w:w="305"/>
        <w:gridCol w:w="826"/>
        <w:gridCol w:w="211"/>
        <w:gridCol w:w="211"/>
        <w:gridCol w:w="305"/>
        <w:gridCol w:w="826"/>
        <w:gridCol w:w="146"/>
        <w:gridCol w:w="146"/>
        <w:gridCol w:w="265"/>
        <w:gridCol w:w="849"/>
        <w:gridCol w:w="183"/>
        <w:gridCol w:w="183"/>
        <w:gridCol w:w="265"/>
        <w:gridCol w:w="849"/>
        <w:gridCol w:w="391"/>
      </w:tblGrid>
      <w:t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available for issuance under the Company's ESPP automatically increases on January 1 of each calendar year through January 1, 2031, in an amount equal to the lesser of (i) 1% of the total number of shares of the Company’s common stock outstanding on the last day of the calendar month before the date of each automatic increase and (ii) 1,200,000 shares; or a lesser number of shares determined by the Company’s board of directors. As of September 30, 2026, the Company had issued 791,235 shares of the Company's common stock under the ESPP and had 2,661,273 shares available for future issuance.</w:t>
      </w:r>
    </w:p>
    <w:p>
      <w:pPr>
        <w:pStyle w:val="TextBody"/>
        <w:bidi w:val="0"/>
        <w:spacing w:before="360" w:after="283"/>
        <w:jc w:val="left"/>
        <w:rPr>
          <w:rFonts w:ascii="Times New Roman" w:hAnsi="Times New Roman"/>
          <w:b/>
          <w:color w:val="000000"/>
          <w:sz w:val="20"/>
        </w:rPr>
      </w:pPr>
      <w:bookmarkStart w:id="20" w:name="related_party_transactions"/>
      <w:bookmarkEnd w:id="20"/>
      <w:r>
        <w:rPr>
          <w:rFonts w:ascii="Times New Roman" w:hAnsi="Times New Roman"/>
          <w:b/>
          <w:color w:val="000000"/>
          <w:sz w:val="20"/>
        </w:rPr>
        <w:t>12.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with Crossing Holdings, LLC to rent laboratory and office space (the “Lease”). In March 2022, the Company entered into an amendment with Crossing Holdings, LLC amending the Lease for additional office space in the same building (the “Lease Amendment”). Dr. Pratik Shah and entities that he controls are the sole members of Crossing Holdings, LLC. In January 2026, the Lease was further amended (the “Second Lease Amendment”), which was approved by the Audit Committee of the Board of Directors of the Company in accordance with the Company’s Related Persons Transactions Policy, upon the sale of the leased premises to TREF V Hidden Valley Owner LLC on January 28, 2026. Following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the Second Lease Amendment, neither Crossing Holdings, LLC nor Dr. Pratik Shah has any personal interest in the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Rent and related operating expenses recognized by the Company under the Lease and Lease Amendment during the periods presented were as follows (in thousands):</w:t>
      </w:r>
    </w:p>
    <w:p>
      <w:pPr>
        <w:pStyle w:val="TextBody"/>
        <w:bidi w:val="0"/>
        <w:jc w:val="left"/>
      </w:pPr>
      <w:r>
        <w:t> </w:t>
      </w:r>
    </w:p>
    <w:tbl>
      <w:tblPr>
        <w:tblW w:w="8416" w:type="dxa"/>
        <w:jc w:val="left"/>
        <w:tblInd w:w="0" w:type="dxa"/>
        <w:tblLayout w:type="fixed"/>
        <w:tblCellMar>
          <w:top w:w="28" w:type="dxa"/>
          <w:left w:w="28" w:type="dxa"/>
          <w:bottom w:w="28" w:type="dxa"/>
          <w:right w:w="28" w:type="dxa"/>
        </w:tblCellMar>
      </w:tblPr>
      <w:tblGrid>
        <w:gridCol w:w="2311"/>
        <w:gridCol w:w="146"/>
        <w:gridCol w:w="382"/>
        <w:gridCol w:w="627"/>
        <w:gridCol w:w="264"/>
        <w:gridCol w:w="264"/>
        <w:gridCol w:w="382"/>
        <w:gridCol w:w="763"/>
        <w:gridCol w:w="146"/>
        <w:gridCol w:w="146"/>
        <w:gridCol w:w="377"/>
        <w:gridCol w:w="565"/>
        <w:gridCol w:w="261"/>
        <w:gridCol w:w="261"/>
        <w:gridCol w:w="377"/>
        <w:gridCol w:w="753"/>
        <w:gridCol w:w="391"/>
      </w:tblGrid>
      <w:t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Consulting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2019, the Company entered into an agreement with the Marlinspike Group, LLC (“Marlinspike Group”) for research support, management, and business consulting services (the “2019 Consulting Agreement”). Further, Marlinspike Group provides the use of its office space in Carlsbad, California to the Company on an as-available basis from time to time pursuant to the agreement. The Company’s Chief Executive Officer and Chairperson of its board of directors is an executive officer of Marlinspike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2020, the 2019 Consulting Agreement was terminated and replaced with an amended consulting agreement (the “2020 Consulting Agreement”), which provides for similar services and use of office space for a monthly fee of $20,000. Pursuant to the terms of the 2020 Consulting Agreement, it shall remain in effect until otherwise terminated. Termination may occur at any time upon mutual agreement or unilaterally upon 30 days’ written notice. If the Company unilaterally terminates the 2020 Consulting Agreement for any reason other than cause, it would be subject to a $240,000 termination fee. There has been no termination and the Company cannot determine when, or if, such a termination will occur and hence has not recorded a liability for the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recognized by the Company under the 2020 Consulting Agreement during the periods presented were as follows (in thousands):</w:t>
      </w:r>
    </w:p>
    <w:p>
      <w:pPr>
        <w:pStyle w:val="TextBody"/>
        <w:bidi w:val="0"/>
        <w:jc w:val="left"/>
      </w:pPr>
      <w:r>
        <w:t> </w:t>
      </w:r>
    </w:p>
    <w:tbl>
      <w:tblPr>
        <w:tblW w:w="8418" w:type="dxa"/>
        <w:jc w:val="left"/>
        <w:tblInd w:w="0" w:type="dxa"/>
        <w:tblLayout w:type="fixed"/>
        <w:tblCellMar>
          <w:top w:w="28" w:type="dxa"/>
          <w:left w:w="28" w:type="dxa"/>
          <w:bottom w:w="28" w:type="dxa"/>
          <w:right w:w="28" w:type="dxa"/>
        </w:tblCellMar>
      </w:tblPr>
      <w:tblGrid>
        <w:gridCol w:w="2311"/>
        <w:gridCol w:w="146"/>
        <w:gridCol w:w="421"/>
        <w:gridCol w:w="630"/>
        <w:gridCol w:w="291"/>
        <w:gridCol w:w="291"/>
        <w:gridCol w:w="421"/>
        <w:gridCol w:w="630"/>
        <w:gridCol w:w="146"/>
        <w:gridCol w:w="146"/>
        <w:gridCol w:w="352"/>
        <w:gridCol w:w="702"/>
        <w:gridCol w:w="243"/>
        <w:gridCol w:w="243"/>
        <w:gridCol w:w="352"/>
        <w:gridCol w:w="702"/>
        <w:gridCol w:w="391"/>
      </w:tblGrid>
      <w:t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60" w:after="283"/>
        <w:jc w:val="left"/>
        <w:rPr>
          <w:rFonts w:ascii="Times New Roman" w:hAnsi="Times New Roman"/>
          <w:b/>
          <w:color w:val="000000"/>
          <w:sz w:val="20"/>
        </w:rPr>
      </w:pPr>
      <w:bookmarkStart w:id="21" w:name="leases"/>
      <w:bookmarkEnd w:id="21"/>
      <w:r>
        <w:rPr>
          <w:rFonts w:ascii="Times New Roman" w:hAnsi="Times New Roman"/>
          <w:b/>
          <w:color w:val="000000"/>
          <w:sz w:val="20"/>
        </w:rPr>
        <w:t>13.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amended the Lease in January 2026 via the Second Lease Amendment, which extended the lease term through December 2029 and reduced the base rent commencing on January 28, 2026, with an option to extend the lease term for a period of up to four years. As a result of the Second Lease Amendment, the Company recorded a $1.3 million increase in its right-of-use asset and operating lease liabilities during the three months ended March 31, 2026. Future minimum lease payments, the weighted-average remaining lease term and discount rate for the Lease as of September 30, 2026 are as follows (in thousands):</w:t>
      </w:r>
    </w:p>
    <w:p>
      <w:pPr>
        <w:pStyle w:val="TextBody"/>
        <w:bidi w:val="0"/>
        <w:jc w:val="left"/>
      </w:pPr>
      <w:r>
        <w:t> </w:t>
      </w:r>
    </w:p>
    <w:tbl>
      <w:tblPr>
        <w:tblW w:w="5160" w:type="dxa"/>
        <w:jc w:val="left"/>
        <w:tblInd w:w="0" w:type="dxa"/>
        <w:tblLayout w:type="fixed"/>
        <w:tblCellMar>
          <w:top w:w="28" w:type="dxa"/>
          <w:left w:w="28" w:type="dxa"/>
          <w:bottom w:w="28" w:type="dxa"/>
          <w:right w:w="28" w:type="dxa"/>
        </w:tblCellMar>
      </w:tblPr>
      <w:tblGrid>
        <w:gridCol w:w="3916"/>
        <w:gridCol w:w="146"/>
        <w:gridCol w:w="211"/>
        <w:gridCol w:w="571"/>
        <w:gridCol w:w="316"/>
      </w:tblGrid>
      <w:t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Present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DESIGN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(continued)</w:t>
      </w:r>
    </w:p>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Rent expense for each of the three months ended September 30, 2026 and 2025 was $0.2 million. Rent expense for each of the nine months ended September 30, 2026 and 2025 was $0.7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22" w:name="item_2_managements_discussion_analysis_f"/>
      <w:bookmarkEnd w:id="2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financial statements and notes thereto included in “Item 1. Financial Statements” of this Quarterly Report on Form 10-Q and our other public filings with the Securities and Exchange Commission (SEC).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captions “Special Note Regarding Forward-Looking Statements” and “Risk Factors” in this Quarterly Report, as updated by our subsequent filings under the Securities Exchange Act of 1934, as amended (the Exchange Act). Furthermore, past operating results are not necessarily indicative of results that may occur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are a clinical-stage biopharmaceutical company pioneering the research and development of GeneTAC</w:t>
      </w:r>
      <w:r>
        <w:rPr>
          <w:rFonts w:ascii="Times New Roman" w:hAnsi="Times New Roman"/>
          <w:color w:val="000000"/>
          <w:sz w:val="13"/>
        </w:rPr>
        <w:t xml:space="preserve">® </w:t>
      </w:r>
      <w:r>
        <w:rPr>
          <w:rFonts w:ascii="Times New Roman" w:hAnsi="Times New Roman"/>
          <w:color w:val="000000"/>
          <w:sz w:val="20"/>
        </w:rPr>
        <w:t>molecules, which are a novel class of small-molecule gene targeted chimera therapeutic candidates designed to be disease-modifying by addressing the underlying cause of diseases caused by inherited nucleotide repeat expansion mutations. Certain diseases caused by inherited nucleotide repeat expansion, such as Friedreich ataxia (FA) and fragile X syndrome, can result in reduced gene expression and deficiency of vital proteins; in other diseases, such as myotonic dystrophy type-1 (DM1), Fuchs endothelial corneal dystrophy (FECD), and Huntington's disease (HD), the nucleotide repeat expansions result in the generation of toxic gene products, often associated with pathological nuclear foci and broad splicing disruptions or the expression of mutant proteins that form toxic aggregates. Our GeneTAC</w:t>
      </w:r>
      <w:r>
        <w:rPr>
          <w:rFonts w:ascii="Times New Roman" w:hAnsi="Times New Roman"/>
          <w:color w:val="000000"/>
          <w:sz w:val="13"/>
        </w:rPr>
        <w:t xml:space="preserve">® </w:t>
      </w:r>
      <w:r>
        <w:rPr>
          <w:rFonts w:ascii="Times New Roman" w:hAnsi="Times New Roman"/>
          <w:color w:val="000000"/>
          <w:sz w:val="20"/>
        </w:rPr>
        <w:t>small molecules are designed to selectively target expanded genetic repeat sequences, modulate gene expression either by dialing up or down mRNA transcription, depending on the cause of the disease, and restore cellular health. As a platform, we believe that GeneTAC</w:t>
      </w:r>
      <w:r>
        <w:rPr>
          <w:rFonts w:ascii="Times New Roman" w:hAnsi="Times New Roman"/>
          <w:color w:val="000000"/>
          <w:sz w:val="13"/>
        </w:rPr>
        <w:t xml:space="preserve">® </w:t>
      </w:r>
      <w:r>
        <w:rPr>
          <w:rFonts w:ascii="Times New Roman" w:hAnsi="Times New Roman"/>
          <w:color w:val="000000"/>
          <w:sz w:val="20"/>
        </w:rPr>
        <w:t>molecules have broad potential applicability across currently unaddressed degenerative, monogenic nucleotide repeat expansion diseases affecting millions of individuals worldwide.</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In preclinical studies for our lead program in FA, we have observed restoration of frataxin (FXN) levels in multiple cell types from FA patients and an in vivo murine model of FA using our FA GeneTAC</w:t>
      </w:r>
      <w:r>
        <w:rPr>
          <w:rFonts w:ascii="Times New Roman" w:hAnsi="Times New Roman"/>
          <w:color w:val="000000"/>
          <w:sz w:val="13"/>
        </w:rPr>
        <w:t xml:space="preserve">® </w:t>
      </w:r>
      <w:r>
        <w:rPr>
          <w:rFonts w:ascii="Times New Roman" w:hAnsi="Times New Roman"/>
          <w:color w:val="000000"/>
          <w:sz w:val="20"/>
        </w:rPr>
        <w:t>molecules. At doses that were observed to be well-tolerated in rodents and non-human primates (NHPs), FA GeneTAC</w:t>
      </w:r>
      <w:r>
        <w:rPr>
          <w:rFonts w:ascii="Times New Roman" w:hAnsi="Times New Roman"/>
          <w:color w:val="000000"/>
          <w:sz w:val="13"/>
        </w:rPr>
        <w:t xml:space="preserve">® </w:t>
      </w:r>
      <w:r>
        <w:rPr>
          <w:rFonts w:ascii="Times New Roman" w:hAnsi="Times New Roman"/>
          <w:color w:val="000000"/>
          <w:sz w:val="20"/>
        </w:rPr>
        <w:t>molecules achieved biodistribution to brain and heart, key organs affected by FA, at concentrations that exceeded those observed to restore FXN levels in FA patient cells. Further, and consistent with this favorable target-organ biodistribution, we observed increased endogenous FXN expression in the brain and heart in an animal model of FA after treatment with our FA GeneTAC</w:t>
      </w:r>
      <w:r>
        <w:rPr>
          <w:rFonts w:ascii="Times New Roman" w:hAnsi="Times New Roman"/>
          <w:color w:val="000000"/>
          <w:sz w:val="13"/>
        </w:rPr>
        <w:t xml:space="preserve">® </w:t>
      </w:r>
      <w:r>
        <w:rPr>
          <w:rFonts w:ascii="Times New Roman" w:hAnsi="Times New Roman"/>
          <w:color w:val="000000"/>
          <w:sz w:val="20"/>
        </w:rPr>
        <w:t>molecules. Previously, we reported clinical data for our lead FA GeneTAC</w:t>
      </w:r>
      <w:r>
        <w:rPr>
          <w:rFonts w:ascii="Times New Roman" w:hAnsi="Times New Roman"/>
          <w:color w:val="000000"/>
          <w:sz w:val="13"/>
        </w:rPr>
        <w:t xml:space="preserve">® </w:t>
      </w:r>
      <w:r>
        <w:rPr>
          <w:rFonts w:ascii="Times New Roman" w:hAnsi="Times New Roman"/>
          <w:color w:val="000000"/>
          <w:sz w:val="20"/>
        </w:rPr>
        <w:t>small molecule, DT-216, formulated as the prior DT-216 product candidate (DT-216P1) from a Phase 1 single-ascending dose (SAD) clinical trial in December 2022 and a Phase 1 multiple-ascending dose (MAD) clinical trial in August 2023. Both studies showed that DT-216 was generally well-tolerated and exhibited the ability to overcome the FXN transcription impairment that causes FA. Data from the Phase 1 MAD clinical trial for DT-216P1 suggests more sustained exposure to DT-216 is likely needed to achieve a more durable increase in FXN expression. We then shifted focus to developing DT-216 with a potentially improved formulation to enable more sustained exposure for the treatment of FA. These efforts resulted in a new product candidate, DT-216P2, which uses the same drug substance, DT-216. In nonclinical studies, we observed higher and more sustained DT-216 plasma levels after administration of DT-216P2 than was seen in studies with DT-216P1.</w:t>
      </w:r>
      <w:r>
        <w:rPr>
          <w:rFonts w:ascii="Times New Roman" w:hAnsi="Times New Roman"/>
          <w:color w:val="000000"/>
          <w:sz w:val="13"/>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2025, we received a clinical hold notice from the FDA regarding our IND application for DT-216P2. In December 2025, the clinical hold was lifted and we received clearance from the FDA to initiate clinical studies for DT-216P2.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 Phase 1 SAD clinical trial of DT-216P2 in normal healthy volunteers to evaluate single doses using multiple routes of administration, specifically IV infusion and subcutaneous (SC) injection and infusion routes, has shown that DT-216P2 has been generally well-tolerated. Human plasma pharmacokinetics (PK) profiles of DT-216P2 were consistent with NHP data following both IV and SC single-dose administration and human PK data has demonstrated that DT-216P2 exhibited improved exposure and PK parameters compared to DT-216P1, including higher area under the curve (AUC) and sustained plasma levels at comparable doses.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conducting our RESTORE-FA (Reactivating Expression Suppressed Through Overcoming Repeat Expansion for FA) Phase 1/2 clinical trial of DT-216P2 in patients with FA. The RESTORE-FA trial is a Phase 1/2 clinical trial evaluating DT-216P2 in patients with FA, designed to assess safety, pharmacokinetics, pharmacodynamics, including changes in endogenous FXN, as well as clinical endpoints. In May 2026, we announced positive biomarker and clinical data from the four-week IV cohorts in the ongoing RESTORE-FA trial which showed dose-dependent increases in FXN levels and dose-dependent improvements across multiple clinical measures, including the modified Friedreich’s Ataxia Rating Scale (mFARS), upright stability score (USS) and patient-reported fatigue after four weeks of IV treatment.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After four weeks of DT-216P2 treatment at the 1 mpk dose cohort (n=4), patients demonstrated mean improvements from baseline of 6.4 points in mFARS and 2.7 points in the USS. Further, DT-216P2 treatment demonstrated a mean change of greater than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five points in patient-reported fatigue, as measured by the PROMIS Fatigue Scale, both at the end of four weeks of treatment and two weeks following the last dose. These data exceeded the three-point threshold generally considered to be a minimal important change in fatigue. Dose-dependent increases in endogenous FXN were observed following treatment with DT-216P2 across FXN mRNA and protein assays in whole blood, as well as FXN mRNA measurements in affected muscle tissue, demonstrating activity in both blood and muscle. Following four weeks of treatment at 1 mpk, whole blood FXN mRNA levels increased by 65% from baseline (p &lt; 0.001). Whole blood FXN-M and FXN-E protein levels increased by 22-27% from baseline two weeks following the last dose (p &lt; 0.001). Muscle FXN mRNA levels increased by 42% from baseline (p = 0.015). Together, these findings demonstrate comprehensive biomarker activity with meaningful increases in FXN mRNA and protein, as well as activity in both blood and muscle caused by DT-216P2 treatment. The biomarker data provide mechanistic support for the observed clinical improvements in FA patients.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DT-216P2 was generally well-tolerated, with no serious adverse events or treatment discontinuations reported. All adverse events were mild or moderate. Adverse events considered possibly or probably related to DT-216P2 occurring in more than one patient included mild to moderate transient alanine transaminase (ALT) elevations observed in three patients, all of which were asymptomatic with no associated increases in bilirubin and on background omaveloxolone. Transient ALT elevations are anticipated with enhanced mitochondrial activity, a downstream consequence of FXN restoration.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Based on the four-week data, we are modifying the ongoing cohorts in the RESTORE-FA trial to support the next stage of clinical development. The study will continue to evaluate 1 mpk as the planned go-forward dose, with the intention of enrolling 10 patients in the 12-week cohort with planned duration extension. In addition, modifications include specifying endogenous blood FXN protein percent change from baseline as the primary efficacy endpoint and exploring a dose level above 1 mpk. We expect to provide an update on our registrational plans in the fourth quarter of 2026, with data from the RESTORE-FA trial following 12 weeks of treatment expected in the first quarter of 2027.</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In December 2022, we nominated our second GeneTAC</w:t>
      </w:r>
      <w:r>
        <w:rPr>
          <w:rFonts w:ascii="Times New Roman" w:hAnsi="Times New Roman"/>
          <w:color w:val="000000"/>
          <w:sz w:val="13"/>
        </w:rPr>
        <w:t xml:space="preserve">® </w:t>
      </w:r>
      <w:r>
        <w:rPr>
          <w:rFonts w:ascii="Times New Roman" w:hAnsi="Times New Roman"/>
          <w:color w:val="000000"/>
          <w:sz w:val="20"/>
        </w:rPr>
        <w:t xml:space="preserve">small molecule, DT-168, an eye drop for the treatment of FECD. When tested </w:t>
      </w:r>
      <w:r>
        <w:rPr>
          <w:rFonts w:ascii="Times New Roman" w:hAnsi="Times New Roman"/>
          <w:i/>
          <w:color w:val="000000"/>
          <w:sz w:val="20"/>
        </w:rPr>
        <w:t>in vitro</w:t>
      </w:r>
      <w:r>
        <w:rPr>
          <w:rFonts w:ascii="Times New Roman" w:hAnsi="Times New Roman"/>
          <w:color w:val="000000"/>
          <w:sz w:val="13"/>
        </w:rPr>
        <w:t xml:space="preserve"> </w:t>
      </w:r>
      <w:r>
        <w:rPr>
          <w:rFonts w:ascii="Times New Roman" w:hAnsi="Times New Roman"/>
          <w:color w:val="000000"/>
          <w:sz w:val="20"/>
        </w:rPr>
        <w:t>in FECD patient-derived corneal endothelial cells, our FECD GeneTAC</w:t>
      </w:r>
      <w:r>
        <w:rPr>
          <w:rFonts w:ascii="Times New Roman" w:hAnsi="Times New Roman"/>
          <w:color w:val="000000"/>
          <w:sz w:val="13"/>
        </w:rPr>
        <w:t xml:space="preserve">® </w:t>
      </w:r>
      <w:r>
        <w:rPr>
          <w:rFonts w:ascii="Times New Roman" w:hAnsi="Times New Roman"/>
          <w:color w:val="000000"/>
          <w:sz w:val="20"/>
        </w:rPr>
        <w:t>molecules led to robust reductions in the pathogenic nuclear RNA foci and corrected key mis-spliced transcripts to levels observed in control corneal endothelial cells from unaffected donors. DT-168 was well-tolerated and distribution of DT-168 was observed in and through the cornea in animal models after administration via eye drop. In addition, DT-168 has been evaluated in chronic toxicity studies of up to nine months in duration. We believe these preclinical data support the potential of our novel GeneTAC</w:t>
      </w:r>
      <w:r>
        <w:rPr>
          <w:rFonts w:ascii="Times New Roman" w:hAnsi="Times New Roman"/>
          <w:color w:val="000000"/>
          <w:sz w:val="13"/>
        </w:rPr>
        <w:t xml:space="preserve">® </w:t>
      </w:r>
      <w:r>
        <w:rPr>
          <w:rFonts w:ascii="Times New Roman" w:hAnsi="Times New Roman"/>
          <w:color w:val="000000"/>
          <w:sz w:val="20"/>
        </w:rPr>
        <w:t>small molecules to correct the most common underlying genetic cause of FECD. We are currently conducting an observational study in FECD to confirm disease characteristics and evaluate deterioration in the context of running a trial and to identify characteristics of FECD patients at risk of more rapid disease progression. We have achieved our enrollment goal for the observational study by recruiting and completing baseline assessments on approximately 250 FECD patients. Based on the baseline characteristics data, we have chosen approximately 100 patients for future follow-up visits. This will inform our clinical development efforts and we believe it could potentially increase the probability of DT-168 programmatic success.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May 2025, we reported results from a completed Phase 1, double-masked, placebo-controlled, randomized, SAD/MAD clinical trial evaluating the safety, tolerability and systemic PK of DT-168 ophthalmic solution in normal healthy volunteers. DT-168 eye drops were well-tolerated in all participants with a maximum dose of two 0.5% drops twice-daily for seven days. There were no serious adverse events, no ocular adverse events (AEs) and no treatment discontinuations due to AEs in the trial. All observed AEs were deemed not related to DT-168 by the trial investigator. In parallel with the Phase 1 trial, we conducted reference range studies which showed consistently different splicing in the corneal endothelium between unaffected eye donors and surgical samples from mutant TCF4 FECD patients, supporting the potential for corneal endothelium biomarkers as a clinical proof-of-concept measure of drug activity. We are conducting a Phase 2 biomarker trial of DT-168 to evaluate safety, tolerability, and corneal endothelium biomarkers in FECD patients who are scheduled for corneal transplant surgery, with data expected in 2027.</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In the fourth quarter of 2025, we announced DT-818 as our GeneTAC</w:t>
      </w:r>
      <w:r>
        <w:rPr>
          <w:rFonts w:ascii="Times New Roman" w:hAnsi="Times New Roman"/>
          <w:color w:val="000000"/>
          <w:sz w:val="13"/>
        </w:rPr>
        <w:t xml:space="preserve">® </w:t>
      </w:r>
      <w:r>
        <w:rPr>
          <w:rFonts w:ascii="Times New Roman" w:hAnsi="Times New Roman"/>
          <w:color w:val="000000"/>
          <w:sz w:val="20"/>
        </w:rPr>
        <w:t>small molecule development candidate for the treatment of DM1. In preclinical studies, DT-818 has demonstrated a potential best-in-disease profile for DM1, including a greater than 90% reduction in toxic RNA foci in DM1 patient cells, corresponding splicing correction and selective targeting of mutant DMPK. In an actin repeat mouse model of DM1 (HSA</w:t>
      </w:r>
      <w:r>
        <w:rPr>
          <w:rFonts w:ascii="Times New Roman" w:hAnsi="Times New Roman"/>
          <w:color w:val="000000"/>
          <w:sz w:val="13"/>
        </w:rPr>
        <w:t xml:space="preserve">LR </w:t>
      </w:r>
      <w:r>
        <w:rPr>
          <w:rFonts w:ascii="Times New Roman" w:hAnsi="Times New Roman"/>
          <w:color w:val="000000"/>
          <w:sz w:val="20"/>
        </w:rPr>
        <w:t>mouse model), DT-818 treatment resulted in improved myotonia and foci reduction. In tissue distribution studies in NHPs, DT-818 levels were observed to be at expected pharmacologic levels in key target tissues at well-tolerated doses. In the first half of 2026, we initiated dosing DM1 patients in a Phase 1 MAD trial of DT-818. The Phase 1 trial is an open-label study designed to evaluate the safety, tolerability, pharmacokinetics and pharmacodynamic effects of multiple ascending doses of DT-818 in adults with DM1. We anticipate reporting data from this trial in 2027.</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Our fourth program based on the GeneTAC</w:t>
      </w:r>
      <w:r>
        <w:rPr>
          <w:rFonts w:ascii="Times New Roman" w:hAnsi="Times New Roman"/>
          <w:color w:val="000000"/>
          <w:sz w:val="13"/>
        </w:rPr>
        <w:t xml:space="preserve">® </w:t>
      </w:r>
      <w:r>
        <w:rPr>
          <w:rFonts w:ascii="Times New Roman" w:hAnsi="Times New Roman"/>
          <w:color w:val="000000"/>
          <w:sz w:val="20"/>
        </w:rPr>
        <w:t>platform is focused on HD. We are currently conducting preclinical studies on promising HD GeneTAC</w:t>
      </w:r>
      <w:r>
        <w:rPr>
          <w:rFonts w:ascii="Times New Roman" w:hAnsi="Times New Roman"/>
          <w:color w:val="000000"/>
          <w:sz w:val="13"/>
        </w:rPr>
        <w:t xml:space="preserve">® </w:t>
      </w:r>
      <w:r>
        <w:rPr>
          <w:rFonts w:ascii="Times New Roman" w:hAnsi="Times New Roman"/>
          <w:color w:val="000000"/>
          <w:sz w:val="20"/>
        </w:rPr>
        <w:t>candidate molecules. We have observed reduced mutant huntingtin (mtHTT) mRNA and protein and preservation of wild type huntingtin (wtHTT) in HD patient cells after treatment with our HD GeneTAC</w:t>
      </w:r>
      <w:r>
        <w:rPr>
          <w:rFonts w:ascii="Times New Roman" w:hAnsi="Times New Roman"/>
          <w:color w:val="000000"/>
          <w:sz w:val="13"/>
        </w:rPr>
        <w:t xml:space="preserve">® </w:t>
      </w:r>
      <w:r>
        <w:rPr>
          <w:rFonts w:ascii="Times New Roman" w:hAnsi="Times New Roman"/>
          <w:color w:val="000000"/>
          <w:sz w:val="20"/>
        </w:rPr>
        <w:t xml:space="preserve">candidate molecules. In </w:t>
      </w:r>
      <w:r>
        <w:rPr>
          <w:rFonts w:ascii="Times New Roman" w:hAnsi="Times New Roman"/>
          <w:i/>
          <w:color w:val="000000"/>
          <w:sz w:val="20"/>
        </w:rPr>
        <w:t>in vivo</w:t>
      </w:r>
      <w:r>
        <w:rPr>
          <w:rFonts w:ascii="Times New Roman" w:hAnsi="Times New Roman"/>
          <w:color w:val="000000"/>
          <w:sz w:val="13"/>
        </w:rPr>
        <w:t xml:space="preserve"> </w:t>
      </w:r>
      <w:r>
        <w:rPr>
          <w:rFonts w:ascii="Times New Roman" w:hAnsi="Times New Roman"/>
          <w:color w:val="000000"/>
          <w:sz w:val="20"/>
        </w:rPr>
        <w:t>studies in zQ175DN mice, an animal model of HD, we observed a reduction of over 50% in mtHTT mRNA and protein in the brain striatum after eight weeks of systemic administration of our HD GeneTAC</w:t>
      </w:r>
      <w:r>
        <w:rPr>
          <w:rFonts w:ascii="Times New Roman" w:hAnsi="Times New Roman"/>
          <w:color w:val="000000"/>
          <w:sz w:val="13"/>
        </w:rPr>
        <w:t xml:space="preserve">® </w:t>
      </w:r>
      <w:r>
        <w:rPr>
          <w:rFonts w:ascii="Times New Roman" w:hAnsi="Times New Roman"/>
          <w:color w:val="000000"/>
          <w:sz w:val="20"/>
        </w:rPr>
        <w:t>candidate molecules. In the same study, wtHTT mRNA and protein levels were shown to be preserved after treatment with our HD GeneTAC</w:t>
      </w:r>
      <w:r>
        <w:rPr>
          <w:rFonts w:ascii="Times New Roman" w:hAnsi="Times New Roman"/>
          <w:color w:val="000000"/>
          <w:sz w:val="13"/>
        </w:rPr>
        <w:t xml:space="preserve">® </w:t>
      </w:r>
      <w:r>
        <w:rPr>
          <w:rFonts w:ascii="Times New Roman" w:hAnsi="Times New Roman"/>
          <w:color w:val="000000"/>
          <w:sz w:val="20"/>
        </w:rPr>
        <w:t>candidate molecules. We plan to continue to evaluate these HD candidate molecules in nonclinical studies. The final development candidate will be based on the molecules that perform favorably in relevant studies.</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We have continued to make significant progress in advancing our GeneTAC</w:t>
      </w:r>
      <w:r>
        <w:rPr>
          <w:rFonts w:ascii="Times New Roman" w:hAnsi="Times New Roman"/>
          <w:color w:val="000000"/>
          <w:sz w:val="13"/>
        </w:rPr>
        <w:t xml:space="preserve">® </w:t>
      </w:r>
      <w:r>
        <w:rPr>
          <w:rFonts w:ascii="Times New Roman" w:hAnsi="Times New Roman"/>
          <w:color w:val="000000"/>
          <w:sz w:val="20"/>
        </w:rPr>
        <w:t>portfolio in preclinical studies to address other diseases and intend to declare additional product candidates as they progress towards the clinic.</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We believe the structure and mechanism of action of our GeneTAC</w:t>
      </w:r>
      <w:r>
        <w:rPr>
          <w:rFonts w:ascii="Times New Roman" w:hAnsi="Times New Roman"/>
          <w:color w:val="000000"/>
          <w:sz w:val="13"/>
        </w:rPr>
        <w:t xml:space="preserve">® </w:t>
      </w:r>
      <w:r>
        <w:rPr>
          <w:rFonts w:ascii="Times New Roman" w:hAnsi="Times New Roman"/>
          <w:color w:val="000000"/>
          <w:sz w:val="20"/>
        </w:rPr>
        <w:t>molecules may offer the disease-modifying potential of genomic therapeutics, while also offering broad tissue biodistribution, resolution of aberrant gene expression preserving endogenous regulatory control elements, and leveraging established manufacturing, regulatory, and distribution frameworks for small molecules.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incurred net losses and negative cash flows from operations since our inception and as of September 30, 2026 had an accumulated deficit of $355.1 million. Our cash, cash equivalents and investment securities balance as of September 30, 2026 was $208.6 million. Our net losses have resulted primarily from costs incurred in connection with organizing and staffing our company, business planning, raising capital, developing and optimizing our technology platform, identifying potential product candidates, undertaking research and nonclinical studies, clinical development activities, engaging in manufacturing for our development programs, and providing general and administrative support for these operations. We do not have any products approved for sale and have not generated any revenue from product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and operating losses will increase substantially for the foreseeable future as we continue to conduct nonclinical studies and clinical trials for our product candidates, nominate additional product candidates from our discovery programs, and as we expand our clinical, regulatory, quality and manufacturing capabilities, incur significant commercialization expenses for marketing, sales, manufacturing and distribution, if we obtain marketing approval for any of our product candidates, and incur additional costs associated with operating as a public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research and development expenses have consisted primarily of direct and indirect costs incurred in connection with the clinical development, nonclinical development and manufacturing of our product candidates and our discovery efforts.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contract research organizations, consultants and other vendors that conduct our clinical, nonclinical and discovery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manufacturing our product candidates for clinical and nonclinical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Indirect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employee salaries, payroll taxes, bonuses, benefits and stock-based compensation charges for those individuals involved in research and development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expenses which include allocated expenses for rent, depreciation and other overhead expenses, costs for general laboratory consumables and other indirect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significant portion of our research and development expenses have been direct costs, which we track by stage of development, nonclinical or clinical. However, we do not track our internal research and development expenses on a program specific basis, because these costs are deployed across multiple projects and, as such, are not separately classified.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for the foreseeable future as we continue the development of our FA, FECD, DM1 and HD programs and our other discovery programs, in particular as we advance our product candidates into and through clinical development. As of the date of this Quarterly Report, we cannot reasonably determine with certainty the timing of initiation, the duration or the completion costs of current or future nonclinical studies and clinical programs of our product candidates due to the inherently unpredictable nature of nonclinical and clinical development. Nonclinical and 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We will need to raise substantial additional capital in the future.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research and development expenses may vary significantly based on a wide variety of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rate of progress, expense and results of our discovery,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designing and implementing drug product improvements (including alternate formulations) and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of development of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approvals from applicable regulatory authorities including FDA and non-U.S.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our product candidates following approval, if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clinical or commercial manufacturing capabilities or making arrangements with third-party manufacturers in order to ensure that we or our third-party manufacturers are able to make product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establish additional strategic collaborations or other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could significantly change the costs and timing associated with the development of that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conducting the necessary nonclinical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 Further, a number of factors, including those outside of our control, could adversely impact the timing and duration of our product candidates’ or any future candidates’ development, which could increase our research and development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insurance costs, legal fees relating to intellectual property and corporate matters and professional fees for accounting, tax and consulting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substantially increase in the foreseeable future as we add general and administrative personnel to support our expanded research and development activities and infrastructure and, if any of our product candidates or any future candidates receive marketing approval, commercialization activities, as well as to support our operations generally, including facility-related expenses and patent-related costs. We also expect to incur increased expenses related to accounting, audit, legal, regulatory and tax-related services, director and officer insurance premiums, board of director fees, investor and public relations, and other costs associated with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Three Months Ended September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months ended September 30, 2026 and 2025 (in thousands):</w:t>
      </w:r>
    </w:p>
    <w:p>
      <w:pPr>
        <w:pStyle w:val="TextBody"/>
        <w:bidi w:val="0"/>
        <w:jc w:val="left"/>
      </w:pPr>
      <w:r>
        <w:t> </w:t>
      </w:r>
    </w:p>
    <w:tbl>
      <w:tblPr>
        <w:tblW w:w="6804" w:type="dxa"/>
        <w:jc w:val="left"/>
        <w:tblInd w:w="0" w:type="dxa"/>
        <w:tblLayout w:type="fixed"/>
        <w:tblCellMar>
          <w:top w:w="28" w:type="dxa"/>
          <w:left w:w="28" w:type="dxa"/>
          <w:bottom w:w="28" w:type="dxa"/>
          <w:right w:w="28" w:type="dxa"/>
        </w:tblCellMar>
      </w:tblPr>
      <w:tblGrid>
        <w:gridCol w:w="2511"/>
        <w:gridCol w:w="146"/>
        <w:gridCol w:w="274"/>
        <w:gridCol w:w="878"/>
        <w:gridCol w:w="189"/>
        <w:gridCol w:w="189"/>
        <w:gridCol w:w="274"/>
        <w:gridCol w:w="878"/>
        <w:gridCol w:w="146"/>
        <w:gridCol w:w="146"/>
        <w:gridCol w:w="211"/>
        <w:gridCol w:w="571"/>
        <w:gridCol w:w="391"/>
      </w:tblGrid>
      <w:t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The increase in research and development expenses compared to the same period of the prior year was primarily due to an increase in clinical activities and higher indirect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direct expenses associated with our early-stage programs, which are not allocated on a program-by-program basis, decreased due to the movement of DM1 expenses to a separate program subcategory because of its shift to clinical development. The increase in indirect expenses compared to the same period of the prior year was primarily due to employee related expenses including compensation, stock-based compensation and other support for our ongoing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program and other direct and indirect costs for the three months ended September 30, 2026 and 2025 (in thousands): </w:t>
      </w:r>
    </w:p>
    <w:p>
      <w:pPr>
        <w:pStyle w:val="TextBody"/>
        <w:bidi w:val="0"/>
        <w:jc w:val="left"/>
      </w:pPr>
      <w:r>
        <w:t> </w:t>
      </w:r>
    </w:p>
    <w:tbl>
      <w:tblPr>
        <w:tblW w:w="7594" w:type="dxa"/>
        <w:jc w:val="left"/>
        <w:tblInd w:w="0" w:type="dxa"/>
        <w:tblLayout w:type="fixed"/>
        <w:tblCellMar>
          <w:top w:w="28" w:type="dxa"/>
          <w:left w:w="28" w:type="dxa"/>
          <w:bottom w:w="28" w:type="dxa"/>
          <w:right w:w="28" w:type="dxa"/>
        </w:tblCellMar>
      </w:tblPr>
      <w:tblGrid>
        <w:gridCol w:w="3421"/>
        <w:gridCol w:w="146"/>
        <w:gridCol w:w="274"/>
        <w:gridCol w:w="878"/>
        <w:gridCol w:w="189"/>
        <w:gridCol w:w="189"/>
        <w:gridCol w:w="274"/>
        <w:gridCol w:w="878"/>
        <w:gridCol w:w="146"/>
        <w:gridCol w:w="146"/>
        <w:gridCol w:w="211"/>
        <w:gridCol w:w="631"/>
        <w:gridCol w:w="211"/>
      </w:tblGrid>
      <w:t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The increase in general and administrative expenses was primarily due to a $0.5 million increase in employee compensation, including $0.2 million in stock-based compensation expenses, and $0.1 million in other expenses incurred during the three months ended September 30, 2026 as compared to the same period in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Comparison of the Nine Months Ended September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nine months ended September 30, 2026 and 2025 (in thousands):</w:t>
      </w:r>
    </w:p>
    <w:p>
      <w:pPr>
        <w:pStyle w:val="TextBody"/>
        <w:bidi w:val="0"/>
        <w:jc w:val="left"/>
      </w:pPr>
      <w:r>
        <w:t> </w:t>
      </w:r>
    </w:p>
    <w:tbl>
      <w:tblPr>
        <w:tblW w:w="6716" w:type="dxa"/>
        <w:jc w:val="left"/>
        <w:tblInd w:w="0" w:type="dxa"/>
        <w:tblLayout w:type="fixed"/>
        <w:tblCellMar>
          <w:top w:w="28" w:type="dxa"/>
          <w:left w:w="28" w:type="dxa"/>
          <w:bottom w:w="28" w:type="dxa"/>
          <w:right w:w="28" w:type="dxa"/>
        </w:tblCellMar>
      </w:tblPr>
      <w:tblGrid>
        <w:gridCol w:w="2511"/>
        <w:gridCol w:w="146"/>
        <w:gridCol w:w="265"/>
        <w:gridCol w:w="849"/>
        <w:gridCol w:w="183"/>
        <w:gridCol w:w="183"/>
        <w:gridCol w:w="265"/>
        <w:gridCol w:w="849"/>
        <w:gridCol w:w="146"/>
        <w:gridCol w:w="146"/>
        <w:gridCol w:w="211"/>
        <w:gridCol w:w="571"/>
        <w:gridCol w:w="391"/>
      </w:tblGrid>
      <w:t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The increase in research and development expenses compared to the same period of the prior year was primarily due to an increase in clinical activities and higher indirect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direct expenses associated with our early-stage programs, which are not allocated on a program-by-program basis, decreased due to the movement of DM1 expenses to a separate program subcategory because of its shift to clinical development. The increase in indirect expenses compared to the same period of the prior year was primarily due to employee related expenses including compensation, stock-based compensation and other support for our ongoing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program and other direct and indirect costs for the nine months ended September 30, 2026 and 2025 (in thousands): </w:t>
      </w:r>
    </w:p>
    <w:p>
      <w:pPr>
        <w:pStyle w:val="TextBody"/>
        <w:bidi w:val="0"/>
        <w:jc w:val="left"/>
      </w:pPr>
      <w:r>
        <w:t> </w:t>
      </w:r>
    </w:p>
    <w:tbl>
      <w:tblPr>
        <w:tblW w:w="7581" w:type="dxa"/>
        <w:jc w:val="left"/>
        <w:tblInd w:w="0" w:type="dxa"/>
        <w:tblLayout w:type="fixed"/>
        <w:tblCellMar>
          <w:top w:w="28" w:type="dxa"/>
          <w:left w:w="28" w:type="dxa"/>
          <w:bottom w:w="28" w:type="dxa"/>
          <w:right w:w="28" w:type="dxa"/>
        </w:tblCellMar>
      </w:tblPr>
      <w:tblGrid>
        <w:gridCol w:w="3496"/>
        <w:gridCol w:w="146"/>
        <w:gridCol w:w="265"/>
        <w:gridCol w:w="849"/>
        <w:gridCol w:w="183"/>
        <w:gridCol w:w="183"/>
        <w:gridCol w:w="265"/>
        <w:gridCol w:w="849"/>
        <w:gridCol w:w="146"/>
        <w:gridCol w:w="146"/>
        <w:gridCol w:w="211"/>
        <w:gridCol w:w="631"/>
        <w:gridCol w:w="211"/>
      </w:tblGrid>
      <w:t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The increase in general and administrative expenses was primarily due to a $0.6 million increase in professional services expenses and a $0.5 million increase in employee compensation, offset by a $0.3 million decrease in other expenses incurred during the nine months ended September 30, 2026 as compared to the same period in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since our inception and anticipate we will continue to incur net losses for the foreseeable future. Since our inception, we have funded our operations primarily through the sale of our common stock, convertible preferred stock, grant income and the issuance of convertible notes and notes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we had $208.6 million of combined cash, cash equivalents and investment securities, a decrease of $11.2 million from the $219.8 million of cash, cash equivalents and investment securities at December 31, 2025. Further detail of the change in our cash and cash equivalents for the nine months ended September 30, 2026 and 2025 is summarized below (in thousands):</w:t>
      </w:r>
    </w:p>
    <w:p>
      <w:pPr>
        <w:pStyle w:val="TextBody"/>
        <w:bidi w:val="0"/>
        <w:jc w:val="left"/>
      </w:pPr>
      <w:r>
        <w:t> </w:t>
      </w:r>
    </w:p>
    <w:tbl>
      <w:tblPr>
        <w:tblW w:w="6647" w:type="dxa"/>
        <w:jc w:val="left"/>
        <w:tblInd w:w="0" w:type="dxa"/>
        <w:tblLayout w:type="fixed"/>
        <w:tblCellMar>
          <w:top w:w="28" w:type="dxa"/>
          <w:left w:w="28" w:type="dxa"/>
          <w:bottom w:w="28" w:type="dxa"/>
          <w:right w:w="28" w:type="dxa"/>
        </w:tblCellMar>
      </w:tblPr>
      <w:tblGrid>
        <w:gridCol w:w="3496"/>
        <w:gridCol w:w="146"/>
        <w:gridCol w:w="248"/>
        <w:gridCol w:w="866"/>
        <w:gridCol w:w="195"/>
        <w:gridCol w:w="171"/>
        <w:gridCol w:w="248"/>
        <w:gridCol w:w="866"/>
        <w:gridCol w:w="411"/>
      </w:tblGrid>
      <w:t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40" w:after="283"/>
        <w:jc w:val="left"/>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The increase in our net cash used in operating activities was primarily due to the $4.3 million increase in net loss for the nine months ended September 30, 2026 compared to the nine months ended September 30, 2025.</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The decrease in net cash provided by investing activities was primarily due to a net decrease in cash provided from the maturities and purchases of our investment securities during the nine months ended September 30, 2026 compared to the nine months ended September 30, 2025. We have classified our investment securities as available-for-sale and all investments are made in accordance with our investment policy.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The increase in net cash provided by financing activities was primarily due to sales of an aggregate of 3,140,522 shares of our common stock pursuant to the ATM Program for aggregate net proceeds of approximately $37.1 million during the nine months ended September 30, 2026. Additional financing activities included proceeds received from the issuance of common stock through our employee stock purchase plan and from employee stock option exercises.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Shelf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we filed a shelf registration statement on Form S-3 (the 2025 Shelf Registration Statement). The 2025 Shelf Registration Statement permits: (i) the offering, issuance and sale by us of up to a maximum aggregate offering price of $300.0 million of common stock, preferred stock, debt securities and warrants in one or more offerings and in any combination; and (ii) the offering, issuance and sale by us of up to a maximum aggregate offering price of $100.0 million of our common stock that may be issued and sold under our ATM Program. Promptly following the filing of this Quarterly Report on Form 10-Q, we intend to file a prospectus supplement with the Securities and Exchange Commission to increase the maximum aggregate offering price that may be issued and sold under our ATM Program to $200.0 million (the “ATM Prospectus Supplement”). The common stock that may be issued and sold under the ATM Program is included in the $300.0 million of securities that may be issued and sold under the 2025 Shelf Registration Statement. During the nine months ended September 30, 2026, we sold an aggregate of 3,140,522 shares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pursuant to the ATM Program for aggregate net proceeds of approximately $37.1 million. As of September 30, 2026, we had $36.4 million available for future issuances of common stock pursuant to the ATM Program, which does not take into account the additional amount that will become available upon our filing of the ATM Prospectus Supplement.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investment securities will be sufficient to fund our planned operating expenses and capital expenditure requirements for more than the next 12 months following the date of this Quarterly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expend our capital resources sooner than we expect. Additionally, the process of testing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costs of our drug discovery, nonclinical development activities and clinical trials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designing and implementing drug product improvements (including alternate formulations) and manufacturing our product candidates and any future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therapies and other adverse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seeking FDA, European Medicines Agency (EMA) and any other regulatory approvals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strategic collaborations, licenses and other similar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milestone and royalty payments to our current and future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additional internal systems and infrastructure, including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expanding our facilities or building out additional laboratory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commercialization activities for any of our current or future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revenues from product sales to support our cost structure, we expect to finance our cash needs through public or private equity offerings, debt financings, or other capital sources which may include strategic collaborations, licensing arrangements or other arrangements with third parties.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Equity and debt financing, if available, may involve agreements that include covenants limiting or restricting our ability to take specific actions, such as incurring additional debt, making capital expenditures or declaring dividends. If we raise funds through strategic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drug development or future commercialization efforts. Our ability to raise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funds may be adversely impacted by potential worsening global economic conditions and disruptions to and volatility in the credit and financial markets in the United States and worldwide as a result of macroeconomic factors, including geopolitical conflicts, inflation, tariffs, other fiscal and trade policy changes, bank failures, global supply chain and labor shortage challenges, and the effects of a health epidemic or pandemic. Because of the numerous risks and uncertainties associated with product development, we cannot predict the timing or amount of increased expenses and cannot assure you that we will ever be profitable or generate positive cash flow from operating activities.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Commitments and 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Lease Amendment was approved by the Audit Committee of the Board in accordance with our Related Persons Transactions Policy and was effective upon the sale of the building on January 28, 2026. The Second Lease Amendment extends the lease term through December 2029 and reduces the base rent commencing on January 28, 2026, with an option to extend the lease term for a period of up to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2019, we entered into a Human Therapeutics Exclusive License Agreement, as amended in May 2026, (License Agreement) with the Wisconsin Alumni Research Foundation (WARF). Under the License Agreement, we licensed the exclusive, worldwide, royalty-bearing, sublicensable rights to certain WARF patents and the nonexclusive worldwide rights to certain know-how to develop and commercialize products for the prevention, diagnosis and treatment of disease. As consideration for the license, we agreed to pay an upfront fee of $0.3 million, which we immediately expensed as a research and development expense in our statements of operations as there was no alternative future use for the license.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2026, no payments were made pursuant to the License Agreement. In 2022, pursuant to the License Agreement, we paid $0.1 million to WARF upon the acceptance of an IND in the United States. We will be required to make further aggregate milestone payments of up to $17.5 million upon achievement of certain other regulatory and commercial milestones. We may also be required to pay royalties based on annual net product sales in the low single digits on our or our sublicensees’ net product sales on a country-by-country and product-by-product basis, and are subject to a minimum royalty of $0.1 million per calendar year upon first commercial product sale. Further, we may be required to pay sublicense fees in the mid-single digits percentage for fees, royalties or other payments earned from the granting of sublicenses to the WARF patents and know-how. The Company will recognize these milestone payments and royalties when paid or payable. There were no additional payments or royalties recorded through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responsible for reimbursing WARF for costs incurred in connection with prosecuting and maintaining patent rights that are specific to the License Agreement. Expenses recognized in connection with legal patent fees under this License Agreement were immaterial for the nine months ended September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terminate the License Agreement with 90 days' written notice or for certain breaches of the agreement. WARF may terminate the License Agreement with 90 days' written notice if first commercial sale does not occur before December 31, 2031. Unless terminated earlier by the parties, the term of the License Agreement will continue until the last licensed patent expires in all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we entered into a license agreement pursuant to which we received exclusive, worldwide, royalty-bearing, sublicensable rights to certain patents and technology to be used in the development and commercialization of certain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we recorded $0.1 million to research and development expenses related to regulatory milestones, which was included in accrued expenses and other current liabilities as of December 31, 2025 and paid during the three and nine months ended September 30, 2026. There were no additional payments or royalties recorded for the three and nine months ended September 30, 2026. We may be obligated to make aggregate regulatory milestone payments of up to $0.8 million for each product incorporating licensed patent rights and pay a royalty on worldwide net sales on a product-by-product basis. The Company will recognize these milestone payments and royalties when paid or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terminate the license agreement with 60 days’ written notice and each party may terminate the license agreement upon 30 days’ written notice for certain breaches of the agreement that remain uncured following 60 days’ notice to the other party of such breach. Unless terminated earlier by the parties, the term of the license agreement will continue until the last valid patent claim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enter into agreements in the normal course of business with third-party vendors for nonclinical studies, clinical trial related services, research supplies and other services and products for operating purposes. These contracts generally provide for termination following a certain period after notice and therefore we believe that our non-cancelable obligations under these agreements are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contractual obligations above, we also expect to have future material cash requirements related to our ongoing and planned clinical trials, discovery and nonclinical programs, personnel and facilities-related expenses, external research and development and product development.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research and development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40" w:after="283"/>
        <w:jc w:val="left"/>
      </w:pPr>
      <w:r>
        <w:rPr>
          <w:rFonts w:ascii="Times New Roman" w:hAnsi="Times New Roman"/>
          <w:color w:val="000000"/>
          <w:sz w:val="20"/>
        </w:rPr>
        <w:t>Our critical accounting policies are those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Item 1 of Part I, “Notes to Condensed Financial Statements—</w:t>
      </w:r>
      <w:hyperlink w:anchor="basis_of_presentation_and_summary">
        <w:r>
          <w:rPr>
            <w:rStyle w:val="InternetLink"/>
            <w:rFonts w:ascii="Times New Roman" w:hAnsi="Times New Roman"/>
            <w:color w:val="0000FF"/>
            <w:sz w:val="20"/>
            <w:u w:val="single"/>
          </w:rPr>
          <w:t>Note 2</w:t>
        </w:r>
      </w:hyperlink>
      <w:r>
        <w:rPr>
          <w:rFonts w:ascii="Times New Roman" w:hAnsi="Times New Roman"/>
          <w:color w:val="000000"/>
          <w:sz w:val="20"/>
        </w:rPr>
        <w:t>—Basis of Presentation and Summary of Significant Accounting Policies” of this Quarterly Report on Form 10-Q, and Note 2 to our Financial Statements and our Management’s Discussion and Analysis of Financial Condition and Results of Operations included in our Annual Report on Form 10-K filed with the SEC on March 9, 2026. There have not been any material changes to our critical accounting policies since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pPr>
      <w:r>
        <w:rPr>
          <w:rFonts w:ascii="Times New Roman" w:hAnsi="Times New Roman"/>
          <w:color w:val="000000"/>
          <w:sz w:val="20"/>
        </w:rPr>
        <w:t>See Item 1 of Part I, “Notes to Condensed Financial Statements—</w:t>
      </w:r>
      <w:hyperlink w:anchor="basis_of_presentation_and_summary">
        <w:r>
          <w:rPr>
            <w:rStyle w:val="InternetLink"/>
            <w:rFonts w:ascii="Times New Roman" w:hAnsi="Times New Roman"/>
            <w:color w:val="0000FF"/>
            <w:sz w:val="20"/>
            <w:u w:val="single"/>
          </w:rPr>
          <w:t>Note 2</w:t>
        </w:r>
      </w:hyperlink>
      <w:r>
        <w:rPr>
          <w:rFonts w:ascii="Times New Roman" w:hAnsi="Times New Roman"/>
          <w:color w:val="000000"/>
          <w:sz w:val="20"/>
        </w:rPr>
        <w:t>—Basis of Presentation and Summary of Significant Accounting Policies” for a discussion of recent accounting pronouncements.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as amended (JOBS Act), and we will remain an emerging growth company until December 31, 2026 (the fiscal year-end following the fifth anniversary of the completion of our initial public offering). While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23" w:name="item_3_quantitative_qualitative_disclosu"/>
      <w:bookmarkEnd w:id="2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contemplated by this item.</w:t>
      </w:r>
    </w:p>
    <w:p>
      <w:pPr>
        <w:pStyle w:val="TextBody"/>
        <w:bidi w:val="0"/>
        <w:spacing w:before="360" w:after="283"/>
        <w:jc w:val="left"/>
        <w:rPr>
          <w:rFonts w:ascii="Times New Roman" w:hAnsi="Times New Roman"/>
          <w:b/>
          <w:color w:val="000000"/>
          <w:sz w:val="20"/>
        </w:rPr>
      </w:pPr>
      <w:bookmarkStart w:id="24" w:name="item_4_controls_procedures"/>
      <w:bookmarkEnd w:id="24"/>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we carried out an evaluation, under the supervision and with the participation of our management, including our Chief Executive Officer, of the effectiveness of the design and operation of our disclosure controls and procedures, as defined in Rules 13a-15(e) and 15d-15(e) under the Exchange Act. Based on this evaluation, our Chief Executive Officer concluded that our disclosure controls and procedures were effective at the reasonable assurance level as of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evaluation was also performed under the supervision and with the participation of our management, including our Chief Executive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changes in our internal control over financial reporting that occurred during our latest fiscal quarter that has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25" w:name="part_iior_information"/>
      <w:bookmarkEnd w:id="25"/>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sz w:val="20"/>
        </w:rPr>
      </w:pPr>
      <w:bookmarkStart w:id="26" w:name="item_1_legal_proceedings"/>
      <w:bookmarkEnd w:id="2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27" w:name="item_1a_risk_factors"/>
      <w:bookmarkEnd w:id="27"/>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risks described below, together with the other information contained in this Quarterly Report on Form 10-Q and in our other public filings with the Securities and Exchange Commission (SEC). If any of the following risks actually occur, our business, financial condition, results of operations, and future growth prospects would likely be materially and adversely affected. In these circumstances, the market price of our common stock would likely decline. Other events that we do not currently anticipate or that we currently deem immaterial may also affect our results of operations and financial condition. We have marked with an asterisk (*) those risk factors that were not included as separate risk factors in, or reflect changes from the similarly titled risk factors included in, Item 1A of our Annual Report on Form 10-K, filed with the SEC on March 9,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Position and Capital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net losses since our inception, and anticipate that we will continue to incur significant losses for the foreseeable future. We may never generate any revenue or become profitable or, if we achieve profitability, may not be able to sustain 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that may make it difficult to evaluate the success of our business to date and to assess our future viability. Our operations to date have been limited to business planning, organizing and staffing our company, raising capital, developing and optimizing our technology platform, identifying potential product candidates, undertaking research and nonclinical studies for our lead program in FA and our other development programs, early clinical development for our FA, FECD and DM1 programs, establishing and enhancing our intellectual property portfolio, and providing general and administrative support for these operations. As a result, none of our product candidates have been approved for commercial sale. We have never generated any revenue from product sales and have incurred net losses each year since we commenced operations, including a net loss of $58.1 million and $69.8 million for the nine months ended September 30, 2026 and the year ended December 31, 2025, respectively. We expect that it will be several years, if ever, before we have a product candidate ready for regulatory approval and commercialization. We expect to incur increasing levels of operating losses over the next several years and for the foreseeable future as we advance our product candidates through clinical development. Our prior losses, combined with expected future losses, have had and will continue to have an adverse effect on our stockholders’ equity and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become and remain profitable, we must develop and eventually commercialize a product or products with significant market potential. This will require us to be successful in a range of challenging activities, including completing nonclinical studies and clinical trials of our product candidates, obtaining marketing approval for these product candidates, manufacturing, marketing and selling those products for which we may obtain marketing approval and satisfying any post-marketing requirements. We may never succeed in these activities and, even if we succeed in commercializing one or more of our product candidates, we may never generate revenue that is significant or large enough to achieve profitability. In addition, as a young business, we may encounter unforeseen expenses, difficulties, complications, delays and other known and unknown challenges.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raise additional capital when needed, we may be forced to delay, reduce or eliminate our product development programs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used substantial amounts of cash to fund our operations and expect our expenses to increase substantially during the next few years. The development of biopharmaceutical product candidates is capital intensive. As our product candidates enter and advance through nonclinical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had $208.6 million in cash, cash equivalents and investment securities. Based upon our current operating plan, we estimate that our existing cash, cash equivalents and investment securities will be sufficient to fund our operating expenses and capital expenditure requirements for more than the next 12 months. However, we believe that our existing cash, cash equivalents and investment securities will not be sufficient to fund any of our product candidates through regulatory approval, and we will need to raise substantial additional capital to complete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estimates on assumptions that may prove to be incorrect or require adjustment as a result of business decisions, and we could utilize our available capital resources sooner than we currently expect.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costs of our drug discovery, nonclinical development activities, laboratory testing and clinical trials for any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manufacturing our product candidates and any future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therapies and other adverse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seeking FDA, European Commission and any other regulatory approvals for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strategic collaborations, licenses and other similar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milestone and royalty payments to our current and future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medical and business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additional internal systems and infrastructure, including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costs associated with expanding our facilities or building out additional laboratory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commercialization activities for any of our product candidates, if approved.</w:t>
      </w:r>
    </w:p>
    <w:p>
      <w:pPr>
        <w:pStyle w:val="TextBody"/>
        <w:bidi w:val="0"/>
        <w:jc w:val="left"/>
        <w:rPr>
          <w:rFonts w:ascii="Times New Roman" w:hAnsi="Times New Roman"/>
          <w:color w:val="000000"/>
          <w:sz w:val="20"/>
        </w:rPr>
      </w:pPr>
      <w:r>
        <w:rPr>
          <w:rFonts w:ascii="Times New Roman" w:hAnsi="Times New Roman"/>
          <w:color w:val="000000"/>
          <w:sz w:val="20"/>
        </w:rPr>
        <w:t>Because we do not expect to generate revenue from product sales for many years, if at all, we will need to obtain substantial additional funding in connection with our continuing operations and expected increases in expenses. Until such time as we can generate significant revenue from sales of our product candidates, if ever, we expect to finance our cash needs through equity offerings, debt financings or other capital sources, including potential collaborations, licenses or other similar arrangements. In addition, we may seek additional capital due to favorable market conditions or strategic considerations, even if we believe we have sufficient funds for our current or future operating plans. Our ability to raise additional funds may be adversely impacted by potential worsening global economic conditions and disruptions to and volatility in the credit and financial markets in the United States and worldwide as a result of macroeconomic factors, including geopolitical conflicts, inflation, tariffs, other fiscal and trade policy changes, bank failures, global supply chain and labor shortage challenges, and the effects of a health epidemic or pandemic. If we are unable to raise capital when needed or on attractive terms, we would be forced to delay, reduce or eliminate our research and development programs or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revenue from product sales to support our cost structure, we expect to finance our operations through public or private equity offerings, debt financings or other capital sources, which may include strategic collaborations, licensing arrangements or other similar arrangements with third parties. To the extent that we raise additional capital through the sale of equity or convertible debt securities, current stockholders will be or could be diluted, and the terms of these securities may include liquidation or other preferences that adversely affect the rights of existing stockholders. Equity and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funds through strategic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Because of the numerous risks and uncertainties associated with product development, we cannot predict the timing or amount of increased expenses and cannot assure you that we will ever be profitable or generate positive cash flow from operating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financial condition could be adversely affected if the financial institutions in which we hold our cash fail.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deposits in Federal Deposit Insurance Corporation (FDIC) insured banks. The bank deposit balances may exceed the FDIC insurance limits, and, currently, we hold our cash in a limited number of accounts. Our access to these balances could be impacted if one or more of the financial institutions in which we deposit monies fails or is subject to other adverse conditions in the financial or credit markets. For example, multiple banks failed and were taken into receivership by the FDIC in the first half of 2023. Our access to cash may be adversely affected in the future by actual or anticipated bank failures.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Regulatory Approval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early in our development efforts with three product candidates in clinical development and with all of our other research programs currently in the nonclinical or discovery stage. We have a limited history of conducting clinical trials to test our product candidates in humans.*</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are early in our development efforts. Our lead FA GeneTAC</w:t>
      </w:r>
      <w:r>
        <w:rPr>
          <w:rFonts w:ascii="Times New Roman" w:hAnsi="Times New Roman"/>
          <w:color w:val="000000"/>
          <w:sz w:val="13"/>
        </w:rPr>
        <w:t xml:space="preserve">® </w:t>
      </w:r>
      <w:r>
        <w:rPr>
          <w:rFonts w:ascii="Times New Roman" w:hAnsi="Times New Roman"/>
          <w:color w:val="000000"/>
          <w:sz w:val="20"/>
        </w:rPr>
        <w:t>small molecule, DT-216, formulated as the prior DT-216 product candidate (DT-216P1), entered into a Phase 1 SAD clinical trial in March 2022, the first clinical trial for one of our product candidates, and we completed the Phase 1 MAD clinical trial of DT-216P1 in August 2023. We withdrew our IND for DT-216P1 in October 2023, and we are conducting our RESTORE-FA Phase 1/2 clinical trial of DT-216P2, which uses the same drug substance, DT-216, to assess safety, pharmacokinetics, pharmacodynamics, including changes in endogenous FXN, as well as clinical endpoints. Furthermore, we are conducting a Phase 2 biomarker trial of DT-168, our FECD GeneTAC</w:t>
      </w:r>
      <w:r>
        <w:rPr>
          <w:rFonts w:ascii="Times New Roman" w:hAnsi="Times New Roman"/>
          <w:color w:val="000000"/>
          <w:sz w:val="13"/>
        </w:rPr>
        <w:t xml:space="preserve">® </w:t>
      </w:r>
      <w:r>
        <w:rPr>
          <w:rFonts w:ascii="Times New Roman" w:hAnsi="Times New Roman"/>
          <w:color w:val="000000"/>
          <w:sz w:val="20"/>
        </w:rPr>
        <w:t>product candidate, to evaluate safety, tolerability, and corneal endothelium biomarkers in FECD patients who are scheduled for corneal transplant surgery. We have initiated patient dosing in a Phase 1 MAD trial of DT-818, our DM1 GeneTAC</w:t>
      </w:r>
      <w:r>
        <w:rPr>
          <w:rFonts w:ascii="Times New Roman" w:hAnsi="Times New Roman"/>
          <w:color w:val="000000"/>
          <w:sz w:val="13"/>
        </w:rPr>
        <w:t xml:space="preserve">® </w:t>
      </w:r>
      <w:r>
        <w:rPr>
          <w:rFonts w:ascii="Times New Roman" w:hAnsi="Times New Roman"/>
          <w:color w:val="000000"/>
          <w:sz w:val="20"/>
        </w:rPr>
        <w:t>product candidate. The study is an open-label study designed to evaluate the safety, tolerability, pharmacokinetics and pharmacodynamic effects of multiple-ascending doses of DT-818 in adults with DM1 with results anticipated in 2027. We have limited infrastructure, experience conducting clinical trials as a company and regulatory interactions, and cannot be certain that our clinical trials will be completed on time, if at all, that our planned development programs would be acceptable to the FDA or other comparable foreign regulatory authorities, or that, if approval is obtained, such product candidates can be successfully commercialized.</w:t>
      </w:r>
      <w:r>
        <w:rPr>
          <w:rFonts w:ascii="Times New Roman" w:hAnsi="Times New Roman"/>
          <w:color w:val="000000"/>
          <w:sz w:val="13"/>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early stage of development of our product candidates, our ability to eventually generate significant revenues from product sales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nonclinical studies and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INDs by the FDA or similar regulatory filing by comparable foreign regulatory authorities for the conduct of clinical trials of our product candidates and our proposed design of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new drug applications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any of our approved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our third-party manufacturers for, or establishing, commercial manufacturing capabilities;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our products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scientists and business personnel who can develop our products and technology.</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The success of our business, including our ability to finance our company and generate any revenue in the future, will primarily depend on the successful development, regulatory approval and commercialization of our FA, FECD, DM1 and HD GeneTAC</w:t>
      </w:r>
      <w:r>
        <w:rPr>
          <w:rFonts w:ascii="Times New Roman" w:hAnsi="Times New Roman"/>
          <w:color w:val="000000"/>
          <w:sz w:val="13"/>
        </w:rPr>
        <w:t xml:space="preserve">® </w:t>
      </w:r>
      <w:r>
        <w:rPr>
          <w:rFonts w:ascii="Times New Roman" w:hAnsi="Times New Roman"/>
          <w:color w:val="000000"/>
          <w:sz w:val="20"/>
        </w:rPr>
        <w:t>candidates, as well as our other product candidates, which may never occur. In the future, we may also become dependent on other product candidates that we may develop or acquire; however,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Nonclinical and clinical development involves a lengthy and expensive process with uncertain timelines and outcomes, and results of nonclinical studies and clinical trials may not be predictive of future trial results. If development of our programs is unsuccessful or delayed, we may be unable to obtain required regulatory approvals and be unable to commercialize our product candidates on a timely basis,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drug development is expensive and can take many years to complete, and its outcome is inherently uncertain. Failure or delay can occur at any time during the drug development process, including due to factors outside of our control. Success in nonclinical testing and early clinical trials does not ensure that later clinical trials will be successful. A number of companies in the pharmaceutical industry, including biotechnology companies, have suffered significant setbacks in clinical trials, even after having promising results in earlier nonclinical studies or clinical trials. These setbacks have been caused by, among other things, nonclinical findings emerging while clinical trials were underway and safety or efficacy observations made in nonclinical studies or clinical trials, including previously unreported adverse events. Although we have initiated clinical trials and conducted certain nonclinical studies of DT-216P2, DT-168 and DT-818, and conducted clinical trials and nonclinical studies of DT-216P1 and certain nonclinical studies of other potential product candidates targeting expansion repeat driven diseases, we do not know whether DT-216P2, DT-168, or DT-818 or other potential product candidates targeting expansion repeat driven diseases will perform in ongoing or future clinical trials as they have performed in prior studies. Furthermore, for some indications that we are pursuing, such as FECD caused by a nucleotide repeat expansion mutation in the TCF4 gene, there are no animal models of the human disease and therefore our ability to predict human disease outcomes may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nonclinical and early clinical trials of our product candidates may not be predictive of the results of later-stage clinical trials. Adverse safety or efficacy observations in nonclinical studies or clinical trials may result in delays in timelines of our programs before or after clinical trials have commenced. Product candidates in later stages of clinical trials may fail to show the desired safety and efficacy traits despite having progressed through nonclinical and initial clinical trials. Notwithstanding any potential promising results in earlier studies, we cannot be certain that we will not face similar setbacks. Even if our clinical trials are completed, the results may not be sufficient to obtain regulatory approval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conducted nonclinical studies of DT-216P1 for the treatment of patients with FA, released initial clinical data from our Phase 1 SAD clinical trial in December 2022 and released initial results from the Phase 1 MAD clinical trial of DT-216P1 in August 2023 with results showing that DT-216 was generally well-tolerated and exhibited the ability to overcome the FXN transcription impairment that causes FA, data from the Phase 1 MAD clinical trial for DT-216P1 suggests more sustained exposure to DT-216 is likely needed to achieve a more durable increase in FXN expression and self-limited thrombophlebitis at the injection site was observed in five patients across all three dose levels (100 mg, 200 mg and 300 mg) in the Phase 1 MAD clinical trial of DT-216P1, whereas thrombophlebitis at the injection site was only observed at higher doses (the 400 mg and 600 mg cohorts) in the Phase 1 SAD clinical trial of DT-216P1. Nonclinical studies showed that the thrombophlebitis at the injection site was attributable to the formulation excipients in the prior DT-216P1 product candidate formulation, and that improving the formulation composition could improve exposure, enable higher doses and chronic administration. We have since shown that a potentially improved formulation using a novel and proprietary excipient with DT-216P2 had improved properties, including favorable injection site tolerability, following multiple intravenous administrations and enabled dosing to increase tissue exposure. Given the potential benefits of improved exposure, thrombophlebitis observed in the Phase 1 MAD clinical trial of DT-216P1 and concern for potential worsening of thrombophlebitis at the injection site at higher doses with multiple administration, and the initial results from animal studies using a novel and proprietary excipient in DT-216P2, instead of advancing DT-216P1 through to Phase 2 in the second half of 2023 as originally planned, we decided to pursue development of DT-216P2 to better support the future clinical development and regulatory pathway for the drug substance DT-216. We are conducting our RESTORE-FA Phase 1/2 clinical trial of DT-216P2 in patients with FA. The RESTORE-FA trial is a Phase 1/2 clinical trial evaluating DT-216P2 in patients with FA, designed to assess safety, pharmacokinetics, pharmacodynamics, including changes in endogenous FXN, as well as clinical endpoints. In May 2026, we announced biomarker and clinical data from the four-week IV cohorts in the ongoing RESTORE-FA trial which showed dose-dependent increases in FXN levels and dose-dependent improvements across multiple clinical measures, including mFARS, upright stability score and patient-reported fatigue after four weeks of IV treatment. We believe the thrombophlebitis at the injection site seen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DT-216P1 is no longer an issue limiting continued development of DT-216. However, there can be no assurance that we will be able to successfully develop DT-216P2 with improved properties, including favorable injection site tolerability and the absence of other unacceptable side effects on the timeframe we expect, or at all, or that we will be able to achieve our anticipated clinical development and data timelines for the RESTORE-FA trial. In addition, in June 2025, we received a clinical hold notice from the FDA regarding our IND for DT-216P2. In December 2025, the clinical hold was lifted and we received clearance from the FDA to initiate clinical studies for DT-216P2.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initiating our clinical trials for our product candidates and we cannot be certain that the trials or any other future clinical trials for our product candidates will begin on time, need to be redesigned, enroll an adequate number of patients on time or be completed on schedule, if at all. Clinical trials can be delayed or terminated for a variety of reasons, including delay or failure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disagreeing as to the design or implementation of our planned clinical trials, or the sufficiency of nonclinical data to initiate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for further analysis of the study’s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 to commence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prospective contract research organizations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institutional review board (IRB) approval or positive Ethics Committee opinion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patient safety concerns that arise during the course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any conflicts with new or existing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a sufficient number of clinical trial sites;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sufficient quantities of product candidate for use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Ethics Committee of the institutions in which such trials are being conducted, by a Data Safety Monitoring Board (DSMB) for such trial or by the FDA or other regulatory authorities (including foreign regulatory authorities comparable to the FDA).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as we plan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policies of the FDA and other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decisions issued by federal agencies, including the FDA, on which we rely.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such legal challenges, if successful, could have a material impact on our business. Additionally, the </w:t>
      </w:r>
      <w:r>
        <w:rPr>
          <w:rFonts w:ascii="Times New Roman" w:hAnsi="Times New Roman"/>
          <w:i/>
          <w:color w:val="000000"/>
          <w:sz w:val="20"/>
        </w:rPr>
        <w:t xml:space="preserve">Loper </w:t>
      </w:r>
      <w:r>
        <w:rPr>
          <w:rFonts w:ascii="Times New Roman" w:hAnsi="Times New Roman"/>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subject to enforcement action and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or termination, of any clinical trial of our product candidates, the commercial prospects of our product candidates may be harmed, and our ability to generate product revenue from any of these product candidates will be delayed or not realized at all. In addition, any delays in initiating or completing our clinical trials will increase our costs, slow down our product candidate development and approval process and jeopardize our ability to commence product sales and generate revenue.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are based on novel technologies, which make it difficult to predict the timing, results and cost of product candidate development and likelihood of obtaining regulatory approval.</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have concentrated our research and development efforts on product candidates using our GeneTAC</w:t>
      </w:r>
      <w:r>
        <w:rPr>
          <w:rFonts w:ascii="Times New Roman" w:hAnsi="Times New Roman"/>
          <w:color w:val="000000"/>
          <w:sz w:val="13"/>
        </w:rPr>
        <w:t xml:space="preserve">® </w:t>
      </w:r>
      <w:r>
        <w:rPr>
          <w:rFonts w:ascii="Times New Roman" w:hAnsi="Times New Roman"/>
          <w:color w:val="000000"/>
          <w:sz w:val="20"/>
        </w:rPr>
        <w:t>platform technologies, and our future success depends on the successful development of this approach. We have not yet succeeded and may not succeed in demonstrating efficacy and safety for any product candidates based on our GeneTAC</w:t>
      </w:r>
      <w:r>
        <w:rPr>
          <w:rFonts w:ascii="Times New Roman" w:hAnsi="Times New Roman"/>
          <w:color w:val="000000"/>
          <w:sz w:val="13"/>
        </w:rPr>
        <w:t xml:space="preserve">® </w:t>
      </w:r>
      <w:r>
        <w:rPr>
          <w:rFonts w:ascii="Times New Roman" w:hAnsi="Times New Roman"/>
          <w:color w:val="000000"/>
          <w:sz w:val="20"/>
        </w:rPr>
        <w:t>platform technologies in clinical trials or in obtaining marketing approval thereafter, and use of our GeneTAC</w:t>
      </w:r>
      <w:r>
        <w:rPr>
          <w:rFonts w:ascii="Times New Roman" w:hAnsi="Times New Roman"/>
          <w:color w:val="000000"/>
          <w:sz w:val="13"/>
        </w:rPr>
        <w:t xml:space="preserve">® </w:t>
      </w:r>
      <w:r>
        <w:rPr>
          <w:rFonts w:ascii="Times New Roman" w:hAnsi="Times New Roman"/>
          <w:color w:val="000000"/>
          <w:sz w:val="20"/>
        </w:rPr>
        <w:t>platform technologies may not ever result in marketable products. We may also experience delays in developing a sustainable, reproducible and scalable manufacturing process or transferring that process to commercial partners or establishing our own commercial manufacturing capabilities, which may prevent us from completing our clinical trials or commercializing any products on a timely or profitable basis, if at all. Further, because all of our product candidates and development programs are based on the same GeneTAC</w:t>
      </w:r>
      <w:r>
        <w:rPr>
          <w:rFonts w:ascii="Times New Roman" w:hAnsi="Times New Roman"/>
          <w:color w:val="000000"/>
          <w:sz w:val="13"/>
        </w:rPr>
        <w:t xml:space="preserve">® </w:t>
      </w:r>
      <w:r>
        <w:rPr>
          <w:rFonts w:ascii="Times New Roman" w:hAnsi="Times New Roman"/>
          <w:color w:val="000000"/>
          <w:sz w:val="20"/>
        </w:rPr>
        <w:t>platform technologies, adverse developments with respect to one of our programs may have a significant adverse impact on the actual or perceived likelihood of success and value of our 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trial requirements of the FDA, the European Union and other comparable foreign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pharmaceutical or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a biomarker-driven clinical development strategy, and such strategy carries increased risks. A proposal for new or emerging biomarker focused endpoints may result in data that is not accepted by the FDA or comparable foreign regulatory bodies or industry professionals, or if such endpoints are later found to be insufficient to establish clinical efficacy, may require us to change the design of our clinical trials.</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The biotechnology and biopharmaceutical industries are also rapidly developing, and our competitors may introduce new technologies improving the treatments in the field of expansion repeat driven diseases and small molecules that render our GeneTAC</w:t>
      </w:r>
      <w:r>
        <w:rPr>
          <w:rFonts w:ascii="Times New Roman" w:hAnsi="Times New Roman"/>
          <w:color w:val="000000"/>
          <w:sz w:val="13"/>
        </w:rPr>
        <w:t xml:space="preserve">® </w:t>
      </w:r>
      <w:r>
        <w:rPr>
          <w:rFonts w:ascii="Times New Roman" w:hAnsi="Times New Roman"/>
          <w:color w:val="000000"/>
          <w:sz w:val="20"/>
        </w:rPr>
        <w:t>platform technologies obsolete or less attractive. New technology could emerge at any point in the development cycle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difficulties or delays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continue our ongoing clinical trials or initiate or continue clinical trials planned in the future for our product candidates if we are unable to identify and enroll a sufficient number of eligible patients to participate in these trials as required by the FDA or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The enrollment of patients depends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clinical trials may compete with other clinical trials for product candidates that are in the same therapeutic areas as our product candidates, and this competition may reduce the number and types of patients available to us, because some patients who might have opted to enroll in our trials may instead opt to enroll in a trial being conducted by one of our competitors. We may also experience enrollment challenges if patients that would otherwise enroll in our trial choose not to do so, or are not eligible to do so, as a result of treatment with another drug. For example, the FDA approved omaveloxolone for the treatment of FA in adults and adolescents aged 16 years and older in February 2023, and omaveloxolone was commercially launched in June 2023. The availability of omaveloxolone may impact future enrollment of our planned clinical trials. FA patients receiving omaveloxolone may be ineligible to enroll in a clinical trial for DT-216P2 or may choose not to do so due to the availability of an approved product. Furthermore, patients enrolled in our clinical trials may receive omaveloxolone and we cannot predict the impact of potential drug interactions on trial results. Likewise, patient enrollment for our ongoing Phase 1 MAD study of DT-818 may be adversely impacted by competition from clinical trials for other DM1 treatments. Delays in patient enrollment may result in increased costs or may affect the timing or outcome of our clinical trials, which could prevent completion of these trials and adversely affect our ability to advance the development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conducting and plan to conduct additional clinical trials for our product candidates outside the United States and the FDA may not accept data from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and plan to conduct additional clinical trials outside the United States. Although the FDA may accept data from clinical trials conducted outside the United States, acceptance of such study data by the FDA is subject to certain conditions. For example, the clinical trial must be conducted in accordance with Good Clinical Practices (GCP) requirements and the FDA must be able to validate the data from the clinical trial through an on-site inspection if it deems such inspection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data from foreign clinical trials are intended to serve as the sole basis for marketing approval in the United States, the FDA will not approve the application on the basis of foreign data alone unless those data are applicable to the U.S. population and U.S. medical practice, the clinical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 In addition, the conduct of clinical trials outside the United States could have a significant impact on us. Similar considerations regarding the conduct of clinical trials in foreign countries apply abroad.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regulatory requirements that could burden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legal requirements applicable to privacy, data protection, information security and other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value-added tax, withholding and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foreign regulatory schema;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customs, shipment and storage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geopolitical events or a public health crisis on our ability to produce our product candidates and conduct clinical trials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as amended,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side effects or have other properties that could delay or prevent their regulatory approval, cause us to suspend or discontinue our clinical trials, limit the commercial profile of an approved label,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to interrupt, delay or halt ongoing or planned clinical trials and could result in a more restrictive label or the delay or denial of regulatory approval by the FDA or comparable foreign regulatory authorities. Results of our clinical trials or nonclinical studies could reveal a high and unacceptable severity and prevalence of side effects or unexpected characteristics. For example, we reported data for DT-216P1 from a Phase 1 SAD clinical trial in December 2022 and a Phase 1 MAD clinical trial in August 2023. Both studies showed that DT-216 was generally well-tolerated and exhibited the ability to overcome the FXN transcription impairment that causes FA. Data from the Phase 1 MAD clinical trial for DT-216P1 suggests more sustained exposure to DT-216 is likely needed to achieve a more durable increase in FXN expression and self-limited thrombophlebitis at the injection site was observed in five patients across all three dose levels (100 mg, 200 mg and 300 mg) in the Phase 1 MAD clinical trial of DT-216P1. Nonclinical studies showed that the thrombophlebitis at the injection site was attributable to the formulation excipients in the DT-216P1 formulation, and that improving the formulation composition could improve exposure, enable higher doses and chronic administration. We have since shown that a potentially improved formulation using a novel and proprietary excipient with DT-216P2 had improved properties, including favorable injection site tolerability, following multiple intravenous administrations and enabled dosing to increase tissue exposure. Given the potential benefits of improved exposure, thrombophlebitis observed in the Phase 1 MAD clinical trial for DT-216P1 and concern for potential worsening of thrombophlebitis at the injection site at higher doses with multiple administration and the initial results from animal studies with DT-216P2 using a novel and proprietary excipient, instead of advancing DT-216P1 through to Phase 2 in the second half of 2023 as originally planned, we decided to pursue development of DT-216P2 that we believe may better support the future clinical development and regulatory pathway for the drug substance DT-216. Based on early clinical data and non-clinical studies of DT-216P2, we believe the thrombophlebitis at the injection site seen with DT-216P1 is no longer an issue limiting continued development of DT-216. However, there can be no assurance that we will be able to successfully develop DT-216P2 with improved properties, including favorable injection site tolerability and the absence of other unacceptable side effects on the timeframe we expect, or at all, or that we will be able to achieve our anticipated clinical development and data timelines.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such as thrombophlebitis at the injection site or other severe injection site reactions associated with intravenous or subcutaneous administration, arise in the development of our product candidates, we, the FDA or comparable foreign regulatory authorities, the IRBs at the institutions in which our studies are conducted, or the DSMB (or applicable safety oversight committee) could recommend a protocol amendment, suspend or terminate our clinical trials or the FDA or comparable foreign regulatory authorities may deny approval of our product candidates for any or all targeted indications. Treatment-related side effects could also affect patient recruitment or the ability of enrolled patients to complete the trial or result in potential product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any of our product candidates receives marketing approval, and we or others later identify undesirable side effects caused by such products,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that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events could prevent us from achieving or maintaining market acceptance of the particular product candidate, if approved, and result in the loss of significant revenue to us, which would materially and adversely affect our results of operations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Early, interim, topline and preliminary data from our nonclinical studies or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early, interim, preliminary or topline data from our nonclinical studies or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early, interim, topline or preliminary results that we report may differ from future results of the same studies, or different conclusions or considerations may qualify such results, once additional data have been received and fully evaluated. Early,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From time to time, we may also disclose early or interim data from our clinical trials. Early, interim, topline, or preliminary data from clinical trials that we may complete are subject to the risk that one or more of the clinical outcomes may materially change as patient enrollment continues and more patient data become available. Adverse differences between early, preliminary, interim or topline data and final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a Phase 1 SAD clinical trial of DT-216P2 in normal healthy volunteers to evaluate single doses using multiple routes of administration, specifically IV infusion and SC injection and infusion routes, has shown that DT-216P2 has been generally well-tolerated. Human plasma pharmacokinetics (PK) profiles of DT-216P2 were consistent with NHP data following both IV and SC single-dose administration and human PK data demonstrated that DT-216P2 exhibited improved exposure and PK parameters compared to DT-216P1, including higher AUC and sustained plasma levels at comparable doses. In May 2026, we announced biomarker and clinical data from the four-week IV cohorts in the ongoing RESTORE-FA trial evaluating DT-216P2 in FA patients which showed dose-dependent increases in FXN levels and dose-dependent improvements across multiple clinical measures, including mFARS, upright stability score and patient-reported fatigue after four weeks of IV treatment. It is possible that our exposure, PK, pharmacodynamics, clinical endpoints and other observations will materially change as additional data becomes available, including from the ongoing RESTORE-FA Phase 1/2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 in our disclosure, and any information we determine not to disclose may ultimately be deemed significant with respect to future decisions, conclusions, views, activities or otherwise regarding a particular product, product candidate or our business. If the early,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regulatory approval process is lengthy, expensive and uncertain, and we may be unable to obtain regulatory approval for our product candidates under applicable regulatory requirements. The denial or delay of any such approval would delay commercialization of our product candidates and adversely impact our ability to generate revenue,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research, testing, manufacturing, labeling, approval, selling, import, export, marketing, promotion and distribution of drug products are subject to extensive and evolving regulation by federal, state and local governmental authorities in the United States, principally the FDA, and by foreign regulatory authorities, which regulations differ from country to country. Neither we nor any future collaborator is permitted to market any of our product candidates in the United States until we receive regulatory approval of an NDA from the FDA. Similar requirements for approval apply to market product candidates in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 of an NDA, or a comparable foreign regulatory approval, can be a lengthy, expensive and uncertain process. Prior to obtaining approval to commercialize a product candidate in the United States or abroad, we or our collaborators must demonstrate with substantial evidence from well-controlled clinical trials, and to the satisfaction of the FDA or other foreign regulatory authorities, that such product candidates are safe and effective for their intended uses. The number of nonclinical studies and clinical trials that will be required for FDA or foreign regulatory approval varies depending on the product candidate, the disease or condition that the product candidate is designed to address, and the regulations applicable to any particular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product candidates to humans may produce undesirable side effects, which could interrupt, delay, vary or halt clinical trials and result in the FDA or other regulatory authorities denying approval of a product candidate for any or all indications. The FDA and other regulatory authorities may also require us to conduct additional studies or trials for our product candidates either prior to or post-approval, such as additional drug-drug interaction studies or safety or efficacy studies or trials, or it may object to elements of our clinical development program such as the number of subjects in our clinical trials from the United States or another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any foreign regulatory authorities can delay, limit or deny approval of our product candidates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applicable foreign regulatory authority’s disagreement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that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foreign regulatory authority that our product candidates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or the applicable foreign regulatory authority’s disagreement with the interpretation of data from nonclinical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the clinical and other benefits of our product candidates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the applicable foreign regulatory authority’s requirement for additional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the applicable foreign regulatory authority’s disagreement regarding the formulation, labeling and/or the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or the applicable foreign regulatory authority’s failure to approve the manufacturing processes or facilities of third-party manufacturers with which we contract;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or the applicable foreign regulatory authorities to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other regulatory approval processes and are commercialized. The lengthy approval process as well as the unpredictability of clinical trial results may result in our failing to obtain regulatory approval to market our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ongoing and planned clinical testing and receive approval of an NDA or foreign marketing application for our product candidates, the FDA or the applicable foreign regulatory authority may grant approval contingent on the performance of costly additional clinical trials, including Phase 4 clinical trials, and/or in the case of the FDA, the implementation of a Risk Evaluation and Mitigation Strategy (REMS), which may be required to ensure safe use of the drug after approval. The FDA or the applicable foreign regulatory authority may also approve a product candidate for a more limited indication or a narrower patient population than we originally requested, and the FDA or applicable foreign regulatory authority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certain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and the manufacture of our materials for our product candidates, including our active pharmaceutical ingredients (APIs) and certain excipients, as well as for manufacture of any products that we may commercialize, if approved. Such materials for our product candidates are currently manufactured in multiple foreign countries, including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APIs.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health epidemic or pandemic could adversely impact our business and affect our operations, as well as the business or operations of our manufacturers or other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the effects of health epidemics or pandemics in regions where we have business operations, and could cause significant disruption in the operations of third parties upon whom we rely including our suppliers, CROs and other contract service providers. Measures imposed by governments in affected regions may impact commercial activities and businesses in an effort to reduce the spread of the disease. We may experience disruptions that could severely impact our business and clinical trials,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and retaining patients in our clinical trials, particularly subjects who are at a higher risk of severe illness or death;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clinical trials, including interruption in global shipping that may affect the transport of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interpreting data from our clinical trials due to the possible effects of an infectious disease on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regulations as part of a response to a public health crisis which may require us to change the ways in which our clinical trials are conducted, which may result in unexpected costs, or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difficulties or delays arising in our existing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resources that would otherwise be focused on the conduct of our business, our nonclinical studies or our clinical trials, including because of sickness or the desire to avoid contact with large groups of people or as a result of government-imposed “shelter in place” or similar working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or delays in the operations of the FDA or other regulatory authorities, which may impact review and approval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global freight and shipping that may affect the transport of clinical trial materials, such as investigational drug product to be used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potential disruptions of our contracted manufacturing operations as a result of any potential shutdowns or other restrictions in operations due to impact from the public health crisis;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as part of a response to an epidemic or pandemic which may require us to change the ways in which our clinical trials are to be conducted, or to discontinue the clinical trials altogether, or which may result in unexpected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regulators, ethics committees and other important agencies and contractors due to limitations in employee resources or forced furlough of government or contractor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participants enrolled in our clinical trials will acquire an infectious disease while the clinical trial is ongoing, which could impact the results of the clinical trial, including by increasing the number of observed adverse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or comparable foreign regulatory authorities to accept data from clinical trials in affected geographies outside of their respective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disruptions in our operations and the global economy could negatively impact our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extent a health epidemic or pandemic adversely affects our business and results of operations, it may also have the effect of heightening many of the other risks and uncertainties described in this “Risk Factors”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orphan drug designation for our product candidates from the FDA and/or from the European Commission in the future. However, we may be unsuccessful in obtaining or may be unable to maintain the benefits associated with orphan drug designation, including the potential for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orphan drug designation for our product candidates in the future; however, we may be unsuccessful. Regulatory authorities in some jurisdictions, including the United States and the European Union (EU),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European Commission may grant orphan designation after receiving the opinion of the European Medicines Agency’s (EMA’s) Committee for Orphan Medicinal Products provided that it can be established that the medicinal product is intended for the diagnosis, prevention or treatment of a life-threatening or chronically debilitating condition, and that the condition affects not more than five in 10,000 persons in the EU when the application is made or that without incentives derived from orphan status, it is unlikely that marketing of the drug in the EU would generate sufficient returns to justify the investment needed to develop the drug, and no satisfactory method of diagnosis, prevention or treatment of the condition exists (or, if such a method exists, the drug must be of significant benefit to patients). There can be no assurance that the FDA or European Commission will grant orphan designation for any indication for which we apply, or that we will be able to maintain such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orphan drug designation entitles a party to financial incentives such as opportunities for grant funding towards clinical trial costs, tax advantages and user-fee waivers. If a product candidate with an orphan drug designation subsequently receives the first marketing approval for the indication for which it has such designation, the product is entitled to a period of orphan drug exclusivity, which precludes the FDA from approving another marketing application for the same drug or biologic for that time period, except in limited circumstances, such as a showing of clinical superiority to the product with orphan drug exclusivity or where the manufacturer is unable to assure sufficient product quantity. The applicable market exclusivity period is ten years in the European Union. During this period,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The period of market exclusivity may, however, be reduced to six years if, at the end of the fifth year, it is established that the product no longer meets the criteria for orphan designation or if the product is sufficiently profitable so that maintenance of market exclusivity is no longer justified.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product, that exclusivity may not effectively protect the product from competition because different products can be approved for the same condition. Even after an orphan drug is approved, the FDA or comparable foreign regulatory authority can subsequently approve the same active moiety in a new drug for the same condition if such regulatory authority concludes that the later drug is clinically superior if it is shown to be safer, more effective or makes a major contribution to patient care. Orphan drug exclusivity may also be lost if the FDA later determines that the initial request for designation was materially defective. Additionally, in the EU, a marketing authorization may be granted to a similar medicinal product with the same orphan indication during the 10 year period if: (i) the applicant consents to a second original orphan medicinal product application, (ii) the manufacturer of the original orphan medicinal product is unable to supply sufficient quantities; or (iii) the second applicant can establish that its product, although similar, is safer, more effective or otherwise clinically superior to the original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orphan drug exclusivity does not prevent the FDA or comparable foreign regulatory authorities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Fast Track designation by the FDA may not actually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Fast Track designation for some of our product candidates. If a product is intended for the treatment of a serious or life-threatening condition and the product demonstrates the potential to address unmet medical needs for this condition, the product candidate may be eligible for Fast Track designation. The benefits of Fast Track designation include more frequent meetings with the FDA to discuss the drug’s development plan and ensure collection of appropriate data needed to support drug approval, more frequent written communication from the FDA about such things as the design of the proposed clinical trials and use of biomarkers, eligibility for Accelerated Approval and Priority Review, if relevant criteria are met, and rolling review for its NDA. Even with the Fast Track designation, we may not experience a faster development process, review or approval compared to conventional FDA procedures.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may withdraw Fast Track designation if it believes that the designation is no longer supported by data from our clinical development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Breakthrough Therapy designation that we may receive from the FDA, or designations in foreign countries, for our product candidates may not lead to a faster development or regulatory review or approval process, and it does not increase the likelihood that our product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a Breakthrough Therapy, interaction and communication between the FDA and the sponsor of the trial can help to identify the most efficient path for clinical development while minimizing the number of patients placed in ineffective control regimens. Drugs designated as a Breakthrough Therapy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a Breakthrough Therapy, the FDA may later decide that such product candidates no longer meet the conditions for qualification or decide that the time period for FDA review or approval will not be shortened. Similarly, the EMA has established the PRIME scheme to expedite the development and review of product candidates that show a potential to address to a significant extent an unmet medical need, based on early clinical data.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repeat expansion driven diseases, including FA, HD, FECD and DM1. Our competitors include larger and better funded pharmaceutical, specialty pharmaceutical and biotechnology companies. Moreover, we may also compete with universities, governmental agencies and other research institutions who may be active in the indications we are targeting and could be in direct competition with us. We also compete with these organizations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FDA approved omaveloxolone, a Nrf2 activator, for the treatment of FA in adults and adolescents aged 16 years and older and omaveloxolone was commercially launched by Reata Pharmaceuticals in June 2023. Reata Pharmaceuticals was acquired by Biogen in September 2023. We are also aware of a number of companies with active clinical-stage FA programs including (i) Graviton BioScience evaluating GV101, a ROCK2 inhibitor, (ii) Larimar Therapeutics evaluating CTI-1601, a cell penetrating peptide FXN recombinant fusion protein, (iii) Lexeo Therapeutics evaluating a cardiac targeted FXN gene therapy, (iv) Minoryx Therapeutics evaluating leriglitazone, a PPAR-gamma agonist, (v) PTC Therapeutics evaluating vatiquinone, a 15-lipoxygenase inhibitor, (vi) Solid Biosciences evaluating a recombinant AAV-based gene replacement therapy, and (vii) Voyager Therapeutics evaluating NBIB-223, an AAV-based gene therapy. In addition, several companies have stated that they have preclinical gene therapy programs for FA including Capsida Biotherapeutics and Papillon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companies with active clinical-stage FECD programs including (i) Aurion Biotech evaluating a combination cell therapy comprised of donor cells and a Rho kinase inhibitor, (ii) Emmecell evaluating donor cornea endothelial cells delivered through magnetic nanoparticles injected into the anterior chamber, (iii) Kowa Pharmaceutical evaluating Ripasudil, a Rho kinase inhibitor, for use in conjunction with corneal surgery, (iv) Santen Pharmaceutical evaluating Sirolimus (licensed from ActualEyes Inc.), an mTOR inhibitor, and (v) Trefoil Therapeutics evaluating TTHX1114, an engineered FGF1 delivered via intracameral injection, for use in conjunction with corneal surgery.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a number of programs for DM1 including (i) AMO Pharma evaluating tideglusib, a GSK3-ß inhibitor, (ii) Arrowhead Pharmaceuticals evaluating an RNA interference (RNAi) conjugate (licensed to Sarepta Therapeutics), (iii) Arthex Biotech evaluating anti-miRNA oligonucleotides, (iv) Avidity Biosciences (recently acquired by Novartis) evaluating an antibody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linked siRNA, (v) Dyne Therapeutics evaluating an antibody linked oligonucleotide, (vi) EditForce evaluating an RNA editing technology, (vii) Harmony Biosciences evaluating a histamine 3 receptor for the treatment of excessive daytime sleepiness in DM1, (viii) Juvena Therapeutics evaluating JUV-161, a stem cell-secreted protein, (ix) Modalis Therapeutics evaluating MDL-202, a gene therapy candidate, (x) PepGen evaluating a peptide conjugated antisense oligonucleotide, (xi) Sanofi evaluating an AAV-delivered miRNA, (xii) Transition Bio evaluating condensate therapeutics, and (xiii) Vertex Pharmaceuticals evaluating a peptide conjugated oligonucleotide (licensed from Entrada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companies with active clinical-stage HD programs including (i) Alnylam Pharmaceuticals evaluating an RNAi therapeutic, (ii) Annexon Biosciences evaluating a monoclonal antibody, (iii) Hoffmann-La Roche AG evaluating an AAV gene therapy candidate, (iv) Prilenia Therapeutics evaluating a sigma-1 receptor agonist, (v) PTC Therapeutics evaluating a splicing modifier (licensed to Novartis), (vi) Sarepta Therapeutics evaluating an siRNA, (vii) Skyhawk Therapeutics evaluating a splicing modifier, (viii) uniQure evaluating an AAV-delivered miRNA, (ix) Vaccinex evaluating a monoclonal antibody, (x) VICO Therapeutics evaluating an antisense oligonucleotide, and (xi) Wave Life Sciences evaluating an antisense oligonucleotide.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also compete more generally with other companies developing alternative scientific and technological approaches to modulate individual genes, including other companies working to develop nuclease-based gene editing technologies, such as Beam Therapeutics, CRISPR Therapeutics, Editas Medicine, Intellia Therapeutics, Precision BioSciences, Rocket Pharmaceuticals and Verve Therapeutics (a wholly owned subsidiary of Eli Lilly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must prioritize our research programs and will need to focus our discovery and development on select product candidates and indications. Correctly prioritizing our research and development activities is particularly important for us due to the breadth of potential product candidates and indications that we believe could be pursued using our platform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product candidates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design such product candidates with the properties that we desire;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candidates may, on further study, be shown to have harmful side effects or other characteristics that indicate that they are unlikely to be products that will receive marketing approval and achieve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programs to identify new product candidates require substantial technical, financial and human resources. If we are unable to identify suitable additional candidates for nonclinical and clinical development, our opportunities to successfully develop and commercialize therapeutic products will be limited.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Manufacturing, Commercialization and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rely on third parties to conduct, supervise, and monitor our clinical trials and perform some of our research and nonclinical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the ability to conduct all aspects of our nonclinical testing or clinical trials ourselves. As a result, we are and expect to remain dependent on third parties to conduct our nonclinical studies, our ongoing clinical trials and any future clinical trials of our product candidates. The timing of the initiation and completion of these studies and trials will therefore be partially controlled by such third parties and may result in delays to our development programs. Nevertheless, we are responsible for ensuring that each of our nonclinical studies and clinical trials is conducted in accordance with the applicable protocol, legal requirements, and scientific standards, and our reliance on the CROs and other third parties does not relieve us of our regulatory responsibilities. We and our CROs are required to comply with Good Laboratory Practice (GLP) and GCP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GLP and GCP requirements through periodic inspections of nonclinical study sites, trial sponsors, clinical trial investigators and clinical trial sites. If we or any of our CROs or clinical trial sites fail to comply with applicable GLP or GCP requirements, the data generated in our nonclinical studies and clinical trials may be deemed unreliable, and the FDA or comparable foreign regulatory authorities may require us to perform additional nonclinical or clinical trials before approving our marketing applications. In addition, our clinical trials must be conducted with product produced under current Good Manufacturing Practice (cGMP) regulations. The failure to comply with these regulations may require us to stop and/or repeat clinical trials, which would delay the marketing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any such CROs, clinical trial investigators or other third parties on which we rely will devote adequate time and resources to our development activities, provide services in a timely manner or perform as contractually required. These risks may be heightened as a result of the efforts of government agencies and the CROs themselves to limit the spread of an infectious disease, including quarantines and shelter-in-place orders, which have adversely impacted the supply chain for many research and clinical supplies, including animals for nonclinical testing. In addition, demand for CROs and their resources and services has increased in recent years, which has impacted performance timelines. Furthermore, there are shortages in the supply of materials and animal availability for nonclinical testing, which are required to conduct nonclinical studies. This has led us to experience increased competition for CRO services, including, without limitation, scheduling nonclinical studies and delays in study reporting, which could impact development timelines. If any of these third parties fail to meet expected deadlines, adhere to our clinical protocols or meet regulatory requirements, otherwise performs in a substandard manner, or terminates its engagement with us, the timelines for our development programs may be extended or delayed or our development activities may be suspended or terminated. If any of our clinical trial sites terminates for any reason, we may experience the loss of follow-up information on subjects enrolled in such clinical trials unless we are able to transfer those subjects to another qualified clinical trial site, which may be difficult or impossible. In addition, clinical trial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any comparable foreign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marketing application we submit by the FDA or any comparable foreign regulatory authority. Any such delay or rejection could prevent us from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contract with third parties for the manufacturing and supply of our product candidates for use in nonclinical testing and clinical trials, which supply may become limited or interrupted or may not be of satisfactory quality and quantity.*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We rely on third parties for the manufacture of our product candidates for nonclinical and clinical testing. We will continue to rely on such third parties for commercial product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sufficient quantities of our product candidates or products, if approved, or such quantities at an acceptable cost or quality, which could delay, prevent or impair our development or commercialization efforts. For example, as previously announced in May 2023, an unanticipated issue related to the vial stopper used by our vendor for manufacturing DT-216P1 caused a short delay in product supply for the Phase 1 MAD clinical trial of DT-216P1. In addition, we currently have only one supplier for one of the excipient components of DT-216P2. We may not be able to establish additional sources of supply for this excipient component of DT-216P2 or our other product candidates on a timely basis, or at all, or may be unable to do so on acceptable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cGMP regulations enforced by the FDA through its facilities inspection program. Comparable foreign regulatory authorities may require compliance with similar requirements. The facilities and quality systems of our third-party contract manufacturers must pass a pre-approval inspection for compliance with the applicable regulations as a condition of marketing approval of our product candidates. We do not have direct control of the manufacturing activities of, and are completely dependent on, our contract manufacturers for compliance with cGMP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contract manufacturers, any future collaborators and their contract manufacturers could be subject to periodic unannounced inspections by the FDA, competent authorities of European Economic Area (EEA) countries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EEA countries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global supply chain challenges, geopolitical events impacting trade with global partners, labor shortages, or a health epidemic or pandemic,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including for one of the excipient components of DT-216P2,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 candidates. On December 18, 2025, the National Defense Authorization Act for Fiscal Year 2026 (the NDAA) was signed into law, which includes the BIOSECURE Act which prohibits the U.S. government from procuring biotechnology equipment or services from “biotechnology companies of concern,” and would prohibit U.S. government contracts, loans and grants to any entity that uses biotechnology equipment or services from a designated “biotechnology company of concern.” “Biotechnology companies of concern” will include (i) certain companies identified on the U.S. Department of Defense’s “Chinese military companies operating in the United States” list (the 1260H List), (ii) companies that the U.S. Government designates as a “biotechnology company of concern” pursuant to certain criteria, and (iii) certain subsidiaries or parent or successor entities of the foregoing. The Office of Management and Budget is to issue a list of “biotechnology companies of concern” by mid-December 2026.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With the BIOSECURE Act, we may be restricted in our ability to work with certain Chinese biotechnology manufacturing companies to the extent we would contract with, or otherwise receive funding from, the U.S. government. In addition, any U.S. executive action, legislative action or potential sanctions with China could materially impact entities that work with Chinese biotechnology companies.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or a third party’s failure to execute on our manufacturing requirements, or to execute on commercially reasonable terms and timelines in compliance with cGMP requirements,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nonclinical studies or clinical trials of our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marketing approvals, for our product candidates,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development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our product candidates, an inability to meet commercial demands for any such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may result in additional costs or delays.*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nonclinical to late-stage clinical trials to marketing approval and commercialization, it is common that various aspects of the development program, such as manufacturing methods, are altered along the way in an effort to optimize yield, manufacture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clinical trials or other future clinical trials conducted with the altered materials. This could delay completion of clinical trials, require the conduct of bridging clinical trials or nonclinical studies or the repetition of one or more clinical trials, increase clinical trial costs, delay approval of our product candidates and jeopardize our ability to commercialize our product candidates and generate revenue. For instance, while DT-216 was generally well-tolerated and exhibited the ability to overcome the FXN transcription impairment that causes FA in the Phase 1 SAD clinical trial and the Phase 1 MAD clinical trial of DT-216P1, thrombophlebitis at the injection site was observed in patients in the Phase 1 MAD clinical trial of DT-216P1 and data from the Phase 1 MAD clinical trial for DT-216P1 suggests more sustained exposure to DT-216 is likely needed to achieve a more durable increase in FXN expression. Instead of advancing DT-216P1 through to Phase 2 in the second half of 2023 as originally planned, due to the potential benefits of improved exposure and concern for potential worsening of thrombophlebitis at the injection site at higher doses with multiple administration, we decided to pursue development of a potentially improved formulation using a novel and proprietary excipient with DT-216P2 which has shown improved properties, including favorable injection site tolerability that we believe better support the future clinical development and regulatory pathway for the drug substance, DT-216. It is possible that our product candidates may require additional formulation or drug substance changes in the future to support continued clinical development. In such event, our development timelines may be materially adversely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approved products may fail to achieve the degree of market acceptance by physicians, patients, hospitals, healthcare payors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 marketing approval, they may nonetheless fail to gain sufficient market acceptance by physicians, patients, healthcare payors and others in the medical community. Most of our product candidates target mechanisms for which there are limited or no currently approved products, which may result in slower adoption by physicians, patients and payors. If our product candidates do not achieve an adequate level of acceptance, we may not generate significant product revenue and we may not become profitable.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efficacy and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our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from third-party payor programs, and the willingness of patients to pay out of pocket in the absence of such third-party payor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successfully commercialize our product candidates, if approved, due to unfavorable pricing regulations or third-party coverage and reimbursement policies, which could make it difficult for us to sell our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with uncertain results, that could require us to provide supporting scientific, clinical and cost effectiveness data for the use of our products to the payor. There may be significant delays in obtaining such coverage and reimbursement for newly approved products, and coverage may not be available, or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there is no uniform policy among third-party payors for coverage and reimbursement. Third-party payors often rely upon Medicare coverage policy and payment limitations in setting reimbursement policies, but also have their own methods and approval process apart from Medicare coverage and reimbursement determinations. Therefore, a third-party payor’s determination to provide coverage for a product does not assure that other payors will also provide coverage for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by a third-party payor may depend upon a number of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may impact the demand for, and the price of, any product for which we obtain marketing approval. Even if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are critical to a new product’s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may or may not be available. Instead, the hospital or administering physician may be reimbursed only for providing the treatment or procedure in which our product is used. Further, from time to time, the Centers for Medicare &amp; Medicaid Services (CMS)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revises the reimbursement systems used to reimburse health care providers, including the Medicare Physician Fee Schedule and Hospital Outpatient Prospective Payment System, which may result in reduced Medicare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or collaborators may develop companion diagnostic tests for use with our product candidates.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of our product candidates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initially on the development of treatments for nucleotide expansion repeat diseases. Our projections of addressable patient populations that have the potential to benefit from treatment with our product candidates are based on estimates. If any of our estimates are inaccurate, the market opportunities for any of our product candidates could be significantly diminished and have an adverse material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will likely expect to be granted rights to publish data arising out of such collaboration and any joint research and development programs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third-party collaborators. A competitor’s discovery of our trade secrets would impair our competitive position and have an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establish sales and marketing capabilities or enter into agreements with third parties to sell and market our product candidates, we will be unable to successfully commercialize our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In the future, we may choose to build a focused sales and marketing infrastructure to sell, or participate in sales activities with our collaborators for, some of our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may inhibit our efforts to commercialize future products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educate adequate numbers of physicians on the benefits of prescribing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portfolios;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our product revenue or the profitability of this product revenue to us are likely to be lower than if we were to market and sell any products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any future products effectively. If we do not establish sales and marketing capabilities successfully, either on our own or in collaboration with third parties, we will not be successful in commercializing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nonclinical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In-Licenses and Other Strategic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realize the benefits of any acquisitions, in-license or strategic alliances that we enter into.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in-license agreements with multiple licensors and in the future may seek and form strategic alliances, create joint ventures or collaborations, or enter into acquisitions or additional licensing arrangements with third parties that we believe will complement or augment our existing technologies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or if there are materially adverse impacts on our or the counterparty’s operations resulting from global supply chain challenges, labor shortages or a health epidemic or pandemic,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wish to form collaborations in the future with respect to our product candidates, but may not be able to do so or to realize the potential benefits of such transactions, which may cause us to alter or delay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potential commercialization of our product candidates will require substantial additional capital to fund expenses. We may, in the future, decide to collaborate with other biopharmaceutical companies for the development and potential commercialization of those product candidates, including in territories outside the United States or for certain indications.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also require specific technologies to work effectively and efficiently, and rights to those technologies may be held by others. We may be unable to in-license any compositions, methods of use, processes or other third-party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the curtailment or restructuring of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our business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due to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our product candidates, if approved for commercial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substantially all of our operations at our leased laboratory and office space in Carlsbad, California and remotely.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and restricted stock awards that vest over time. The value to employees of stock awards and restricted stock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certain of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to expand our development, regulatory and operational capabilities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had 60 employees. In addition, we also utilize specialized contract research organizations for additional research and development personnel. Together with our employees, our team comprised approximately 128 full-time equivalents as of September 30, 2026. As we advance our research and development programs, we may be required to further increase the number of our employees and the scope of our operations, particularly in the areas of clinical development, discovery biology, chemistry, product development, general and administrative matters relating to being a public company, regulatory affairs and, if any of our product candidates receives marketing approval, sales, marketing and distribution. To manage any future growth, we must: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recruit, integrate, maintain and motivate additional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development efforts effectively, including the initiation and conduct of clinical trials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expand our organization by hiring new employees and expanding our groups of consultants and contractors when needed, we may not be able to successfully implement the tasks necessary to further develop and eventually commercialize our product candidates and, accordingly,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2025, we had U.S. federal and state net operating loss (NOL) carryforwards of $145.5 million and $13.1 million, respectively. U.S. federal and state NOL carryforwards totaling $0.1 million and $11.6 million respectively, begin to expire in 2037, unless previously utilized. The U.S. federal and certain state NOL carryforwards of $145.5 million and $1.5 million, respectively, generated after 2017, may be carried forward indefinitely but the deductibility of such net operating loss carryforwards in a year is limited to 80% of taxable income in such year. In addition, we have U.S. federal and state research and development (R&amp;D) credit carryforwards totaling $11.0 million and $4.2 million, respectively. The U.S. federal R&amp;D credit carryforwards will begin to expire in 2038 unless previously utilized. The state R&amp;D credit carryforwards do not expire. Our NOL carryforwards and R&amp;D credits are subject to review and possible adjustment by the U.S. and state tax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completed a Section 382 study to assess whether an ownership change had occurred from our formation through December 31, 2021. Based upon the study, we determined that we experienced multiple ownership changes during 2020, causing the annual utilization of NOLs, R&amp;D credits, and other applicable tax attributes generated before then to be limited. We may have experienced additional ownership changes since December 31, 2021, and may experience additional ownership changes in the future as a result of subsequent shifts in our stock ownership. As a result, if we earn net taxable income, our ability to use our pre-change NOLs to offset U.S. federal taxable income may be subject to further limitations, which could potentially result in increased future tax liability to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operations and current and future relationships with investigators, health care professionals, consultants, third-party payors and customers are subject, directly or indirectly, to federal and state healthcare fraud and abuse laws, transparency laws and other healthcare laws and regulations. If we are unable to comply, or have not fully complied, with such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do not currently have any products on the market,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or financial arrangements and relationships with healthcare providers and other parties through which we may market, sell and distribute our products for which we obtain marketing approval. In addition, we may be subject to additional healthcare, statutory and regulatory requirements and enforcement by foreign regulatory authorities in jurisdictions in which we conduct our business. The laws that may affect our ability to operate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and their covered subcontractors that perform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for them that involve the use, or disclosure of, individually identifiable health information, relating to the privacy, security, and transmission of such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Food, Drug and Cosmetic Act, which prohibits, among other things, the adulteration or misbranding of drugs, biologics and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legislation commonly referred to as the Physician Payments Sunshine Act, enacted as part of the Patient Protection and Affordable Care Act, as amended by the Health Care and Education Reconciliation Act (collectively, the Affordable Care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information regarding ownership and investment interests held by the physicians described above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certain regulatory licenses to manufacture or distribute our products commercially and/or the registration of pharmaceutical sales representatives;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and other foreign law equivalents of each of the laws, including reporting requirements detailing interactions with and payments to healthcare professionals.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Enacted and future legislation may increase the difficulty and cost for us to obtain marketing approval of and commercialize our product candidates and affect the prices we may charge for such product candidates.</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the Affordable Care Act was enacted, which includes measures that have significantly changed the way health care is financed by both governmental and private insurers. There have been amendments to and executive, judicial and congressional challenges to certain aspects of the Affordable Care Act. For example, on July 4, 2025, the One Big Beautiful Bill Act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It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unclear how any additional healthcare reform measures of the current administration will impact the Affordable Care Act or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since the Affordable Care Act was enacted. For example, in August 2011, the Budget Control Act of 2011 was signed into law, which, among other things, included aggregate reductions to Medicare payments to providers of, on average, 2% per fiscal year, which, due to subsequent legislative amendments, including the Infrastructure Investment and Jobs Act and the Consolidated Appropriations Act of 2023, will stay in effect through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including at HHS, the FDA, CMS and related agencies. These actions and proposals,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include, for example, (1) directives to reduce agency workforce;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In addition, the administration is pursuing other most-favored-nation drug pricing policies for certain prescription drugs. As part of these initiatives, the administration is implementing or considering various CMS Center for Medicare and Medicaid Innovation models, under which manufacturers may owe rebates for certain prescription drugs under Medicaid or Medicare if the price of a drug included in an applicable model exceeds an international benchmark calculated based on prices available in certain reference countries. These include the finalized Global Benchmark for Efficient Drug Pricing (GLOBE) Model for certain Medicare Part B drugs; and the proposed Guarding United States Medicare Against Rising Drug Costs (GUARD) Model for certain Medicare Part D drugs, among others. These actions and policies may significantly reduce U.S. drug prices, potentially impacting manufacturers’ global pricing strategies and profitability, while increasing their operational costs and compliance risks. Congress may introduce and ultimately pass health care related legislation that could impact the drug approval process and make changes to the Medicare Drug Price Negotiation Program. We expect additional health reform measures may be implemented in the future, particularly given the recent change in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costs of pharmaceutical and biological products. Moreover, regional healthcare authorities and individual hospitals are increasingly using bidding procedures to determine what pharmaceutical products and which suppliers will be included in their prescription drug and other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 healthcare reform measures that have been adopted, and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and the third parties with whom we work are subject to stringent and changing U.S. and foreign laws, regulations and rules, contractual obligations, industry standards, policies and other obligations related to data privacy and security. Our, or our third parties’, actual or perceived failure to comply with such obligations could lead to regulatory investigations or actions, litigation (including class claims) and mass arbitration demands, fines and penalties, disruptions of our business operations, reputational harm and other adverse business impacts.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and our collaborators and third-party providers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clinical trials. Our data processing activities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governments have enacted numerous data privacy and security laws, including federal health information privacy laws, state data breach notification laws, state health information privacy laws and consumer protection laws (e.g., Section 5 of the Federal Trade Commission Act) and other similar laws (e.g., wiretapping laws). In addition, we obtain health information from certain third parties (including research institutions from which we obtain clinical trial data) that are subject to privacy and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under HIPAA, as amended by HITECH, which imposes specific requirements relating to the privacy, security, and transmission of individually identifiable health information. Depending on the facts and circumstances, we could be subject to significant penalties if we violate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to the extent we become subject to these laws in the future.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employees and other individuals who are California residents, and requires businesses subject to the CCPA to provide specific disclosures in privacy notices and honor requests of such individuals to exercise certain privacy rights. The CCPA provides for fines and allows private litigants affected by certain data breaches to recover significant statutory damages. While these states, like the CCPA, also exempt some data processed in the context of clinical trials, these developments further complicate compliance efforts, and increase legal risk and compliance costs for us and the third parties upon whom we rely, should we become subject to them in the future. Similar laws are being considered in several other states, as well as at the federal and local levels, and we expect more states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European Union's General Data Protection Regulation (EU GDPR), the United Kingdom’s GDPR (UK GDPR) (collectively, GDPR), Australia’s Privacy Act and similar privacy initiatives throughout the world where we may conduct clinical trials impose strict requirements for processing personal data and may apply to our operations as we expand our clinical trials globally. For example, under the GDPR, companies may face temporary or definitive bans on data processing and other corrective actions; fines up to 20 million Euros under the EU GDPR / 17.5 million pounds sterling under the UK GDPR, or 4% of the annual global revenue, whichever is greater in either case; or private litigation related to processing of personal data brought by classes of data subjects or consumer protection organizations authorized at law to represent their interests. At this time, we do not believe we are subject to the GDPR, but should this change, the GDPR will increase our responsibility and potential liability in relation to personal data that we process, and we may be required to put in place additional mechanisms or change our business practices to ensure compliance with European and other foreign data protection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have adopted similarly stringent data localization and cross-border data transfer laws. Although there are currently various mechanisms that may be used to transfer personal data from the EU and UK to the United States in compliance with law, such as the EEA standard contractual clauses and the EU-U.S. Data Privacy Framework and UK extension thereto (which allows for transfers to relevant organizations based in the United States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employees and personnel use generative artificial intelligence (AI) and/or automated decision-making technologies to perform certain tasks at work, and the disclosure and use of personal data in AI technologies is subject to various privacy laws and other privacy obligations. Governments have passed and are likely to pass additional laws and regulations regulating AI and/or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automated decision-making technologies. Our use of this technology could result in additional compliance costs, regulatory investigations and actions, and consumer lawsuits. If we are unable to use generative AI and/or automated decision-making technologies,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bound by contractual obligations related to data privacy and security, and our efforts to comply with such obligations may not be successful. For example, certain privacy laws, such as the GDPR and the CCPA, require customers to impose specific contractual restrictions on their service providers. We may publish privacy policies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consumer data privacy expectations)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has, in some instances, prompted changes to our information technologies, systems, and practices and to those of any third parties that process personal data on our behalf. In addition, these obligations may even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fail, or are perceived to have failed, to address or comply with data privacy and security obligations, we could face significant consequences. These consequences include, but are not limited to, government enforcement actions (e.g.,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operate in certain jurisdictions; limited ability to develop or commercialize our product candidates; expenditure of time and resources to defend any claim or inquiry; adverse publicity; or revision or restructuring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last several years, the U.S. government has shut down several times and certain regulatory agencies, such as the FDA and the SEC, have had to furlough critical FDA, SEC and other government employees and stop critical activities.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prolonged government shutdown occurs and/or employee terminations or resignations continue, it could significantly impact the ability of the FDA or other federal agencies to timely review and process our regulatory submissions, which could have a material adverse effect on our business. Further, future government shutdowns and/or employee terminations or resignations at the SEC could impact our ability to access the public markets and obtain necessary capital in order to properly capitalize and continue our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key personnel, which could result in delays or limitations on our ability to obtain guidance from the FDA on our product candidates in development and obtain the requisite regulatory approvals in the future. There is uncertainty as to whether we will be materially and negatively impacted by governmental orders, regulations, policies or guidance, or disruptions to the normal operations of government agencies.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a combination of patents, know-how, trade secrets, and confidentiality agreements to protect the intellectual property related to our products and technologies and to prevent third parties from copying and surpassing our achievements, thus eroding our competitive position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for our product candidates and their uses,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provide assurance that issued patents will afford sufficient protection of our product candidates or their intended uses against competitors, nor can there be any assurance that the patents issued will not be infringed, designed around, invalidated by third parties, or will effectively prevent others from commercializing competitive technologies,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Composition of matter patents for pharmaceutical and biological product candidates often provide a strong form of intellectual property protection for those types of products, as such patents provide protection without regard to any method of use.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laws of foreign countries may not protect our rights to the same extent as the laws of the United States, or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potential future collaborators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jurisdictions are typically not published until 18 months after filing or, in some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cases, not until issuance of the patent.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Our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(PGR) proceedings, oppositions, derivations, reexaminations, or inter partes review (IPR)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that may not adequately protect our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ensure that patent rights relating to inventions described and claimed in our pending patent applications will issue or that patents based on our patent applications will not be challenged and rendered invalid and/or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pending U.S. and foreign patent applications in our portfolio; however, we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patents may issue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of any patent issuing based on our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claims of any patent issuing based on our patent applications will provide protection against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third parties will find ways to invalidate or circumvent our patent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or not others will obtain patents claiming aspects similar to those covered by our patents and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will need to initiate litigation or administrative proceedings to enforce and/or defend our patent rights which will be costly whether we win or 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patent applications that we own or in-license will result in issued patents with claims that cover our product candidates or uses thereof in the United States or in other foreign countries;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may experience patent office interruption or delays to our ability to timely secure patent coverage to our product candidates as a result of factors outside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pending patent applications directed to our product candidates and/or technologies will be considered patentable by the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and although we currently have issued patents and pending applications in the United States, filing, prosecuting and defending patents on all of our research programs and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candidates,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In Europe, beginning June 1, 2023, European applications and patents may be subjected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As a single court system can invalidate a European patent, we, where applicable, may opt out of the UPC and as such, each European patent would need to be challenged in each individual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(such as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Further, many foreign countries could threaten to impose retaliatory measures that may adversely impact our intellectual property rights in those countries. For example, on March 14, 2025, Brazil enacted Law No. 15. 122/2025 (known as the “Economic Reciprocity Law”), which provides a framework that allows for the suspension of obligations related to foreign entities' intellectual property rights. Additionally, changes in US trade policy, including the imposition of new or increased tariffs as well as retaliatory measures by other countries, could adversely affect our patent strategy, such as where we choose to file, maintain, or enforce our patents. Also, if we are required to move our research or manufacturing activities to new regions, this may expose us to jurisdictions with weaker intellectual property enforcement, differing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eligibility standards, or greater risk of compulsory licensing. These factors could compromise the protection or value of our proprietary technologies, including our core patents and related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 consuming, expensive and unpredictable.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included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March 16, 2013, under the Leahy-Smith Act, the United States transitioned to a first inventor to file system in which, assuming that the other statutory requirements are met, the first inventor to file a patent application will be entitled to the patent on an invention regardless of whether this inventor was the first to invent the claimed invention. As a result, a third party that files a patent application in the USPTO on or after March 16,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until publication or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We cannot predict how decisions by the federal courts, the U.S. Congress or the USPTO may impact the value of our patent rights. For example, the Supreme Court of the United States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In the 2013 case Assoc. for Molecular Pathology v. Myriad Genetics, Inc., for instance,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patents. For example, the Inflation Reduction Act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Under recent legislative updates via the One Big Beautiful Bill (OBBB) Act, medicines that maintain one or more FDA orphan designations for rare diseases are exempt from this negotiation process, provided they are not approved for a non-orphan condition. Furthermore, if an exempt orphan medicine is subsequently approved for a broader, non-rare market indication, the 7-year negotiation countdown does not begin until the date of that non-orphan approval. While we do not believe that the IRA, these expanded orphan drug exemptions, or their combined effects will impact our ability to obtain patents in the near future, we cannot be certain whether it will affect our patent strategy in the long run. Additionally, in July 2025, the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(CMC) data, or other proprietary information, any public release could unintentionally disclose information that competitors may use to infer proprietary aspects of our product candidates or platform technologies. This could compromise the confidentiality of our trade secrets and know-how or facilitate third-party efforts to design around or challenge the validity, enforceability, or scope of our patents, or accelerate the development of generics or biosimilars. If we are required to modify or limit the information shared with the FDA to mitigate such risks, it could increase costs, slow our regulatory interactions, or delay product approval timelines.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 candidates that are similar to ours but that are not covered by the claims of the patents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future collaborators might not have been the first to file patent applications covering certain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or have exclusively licensed may be revoked, modified, or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based on our patent applications, including whether the patent applications that we own or in-license will result in issued patents with claims that are directed to our product candidates or uses thereof in the United States or in other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claims of any patent issuing based on our patent applications may not provide protection against competitors or any competitive advantages, or may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enforced, a court may not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initiate litigation or administrative proceedings to enforce and/or defend our patent rights which will be costly whether we win or 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adequately protect and police our trademarks, copyrights, and trade secrets;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or similar events occur, they could significantly harm our business,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technology licensed from various third parties may be subject to retained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party to a license agreement with WARF pursuant to which we acquired an exclusive license to certain patents relating to compounds and methods for modulating gene expression, compounds and methods for modulating FA expression and next generation synthetic transcription factors. WARF retains, and our future licensors may also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nonclinical research or development.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development programs may currently or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current or future licensors or collaboration partners. If any of our current or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current or future licensors and their counsel that took place prior to the date upon which we assumed control over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in the future enter into license agreements with others that may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patent applications,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licensors may rely on third-party consultants or collaborators or on funds from third parties such that our current or future licensors are not the sole and exclusive owners of the patents we in-license. If other third parties have ownership rights to our current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current or future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current or future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spite of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required to license technologies relating to our therapeutic research programs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 The inability to obtain any third-party license required to develop or commercialize any of our product candidates could cause us to abandon any related efforts, which could seriously harm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product candidates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Additionally, </w:t>
      </w:r>
      <w:r>
        <w:rPr>
          <w:rFonts w:ascii="Times New Roman" w:hAnsi="Times New Roman"/>
          <w:color w:val="231F20"/>
          <w:sz w:val="20"/>
        </w:rPr>
        <w:t>g</w:t>
      </w:r>
      <w:r>
        <w:rPr>
          <w:rFonts w:ascii="Times New Roman" w:hAnsi="Times New Roman"/>
          <w:color w:val="000000"/>
          <w:sz w:val="20"/>
        </w:rPr>
        <w:t>enerative AI resources that are publicly available also present a risk that a company may inadvertently obtain, incorporate or use a third party's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As a result, we may be unable to identify such patents or patent applications despite our best efforts.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any assurances that third-party patents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and other proprietary technologies we may develop will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infringe existing or future patents owned by third parties. Third parties may assert infringement claims against us based on existing or future intellectual property rights. In the United States, proving invalidity in court requires a showing of clear and convincing evidence to overcome the presumption of validity enjoyed by issued patents. 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investigational products or force us to cease some of our business operations,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aware of patents that have already been issued and that a third party, for example, a competitor in the fields in which we are developing our product candidates, might assert are infringed by our product candidates, including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In addition, because patent applications can take many years to issue, there may be currently pending patent applications that may later result in issued patents that our product candidates may infringe.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or other third parties may infringe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third-party is infringing our issued patent, or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our employees, consultants or independent contractors have wrongfully used or disclosed confidential information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rely on trade secrets and proprietary know-how which can be difficult to trace and enforce and, 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security incident)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secrets and know-how can be difficult to protect. We require our employees to enter into written employment agreements containing provisions of confidentiality and obligations to assign to us any inventions generated in the course of their employment. We and any third parties with whom we share facilities enter into written agreements that include confidentiality and intellectual property obligations to protect each party’s property, potential trade secrets, proprietary know-how, and information.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We cannot be certain that our trade secrets and other confidential proprietary information will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have a material adverse effect on our business.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rights are of limited duration. In the United States, if all maintenance fees are paid timely, the natural expiration of a patent is generally 20 years after its first effective filing date.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As a result, our patent portfolio may not provide us with sufficient rights to exclude others from commercializing product candidates similar or identical to ours.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United States patent may also be shortened if the patent is terminally disclaimed over an earlier-filed patent. A patent term extension (PTE) based on regulatory delay may be available in the United States. However, only a single patent can be extended for each marketing approval, and any patent can be extended only once, for a single product. Moreover, the scope of protection during the period of the PTE does not extend to the full scope of the claim, but instead only to the scope of the product as approved. Laws governing analogous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apply prior to expiration of relevant patents or otherwise satisfy applicable requirements. Administrative changes at the USPTO or other applicable patent authorities, such as reduced hiring and/or funding, may result in delays in issuance of a patent or in accrual of PTE, thereby reducing the amount of PTE that could otherwise be received. Administrative changes (e.g., at the FDA or USPTO) may also lead to delays in review and analysis of requests for PTE, which could result in a PTE not being timely granted (e.g., before the expiration of the patent). If we are unable to obtain PTE or other patent term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nonclinical data to launch their product earlier than might otherwise be the case, and our revenue could be reduced, possibly materially.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Securities Market and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 which may make it difficult for you to sell your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in March 2021, there had been no public market for our common stock. The trading market for our common stock on The Nasdaq Global Select Market has been limited and an active trading market for our shares may not be sustained. If an active market for our common stock is not sustained, it may be difficult for you to sell your shares at a price that is attractive to you,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price of our common stock could be subject to volatility related or unrelated to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The stock market in general and the market for biotechnology and pharmaceutical companies, in particular, have experienced extreme volatility that has often been unrelated to the operating performance of particular companies. As a result of this volatility, you may not be able to sell your shares at a price that is attractive to you, or at all. The market price for our common stock may be influenced by numerous factors, many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performance and the performance of other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published opinions and third-party valuations by banking and market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clinical trials with our current and future product candidates or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achieve product development goals in the timeframe we announce;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acquisitions, strategic alliances or significant agreements by us or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inflation, tariffs, other fiscal and trade policy changes and market conditions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activity by our principal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our market float;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uncertainty and/or instability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wars, military conflicts and other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supply chain and/or labor shortage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health epidemic or pandemic and actions taken to slow its spread;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factors discussed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The trading prices for common stock of other biopharmaceutical companies have also been highly volatile recently.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executive officers, directors and large stockholders own a significant percentage of our outstanding capital stock. As a result of their share ownership, these stockholders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2021 Plan, our management is authorized to grant stock options and other equity-based awards to our employees, directors and consultants. The number of shares of our common stock reserved for issuance under our 2021 Plan automatically increases on January 1 of each calendar year through January 1, 2031, in an amount equal to the lesser of (i) 5% of the total number of shares of our common stock outstanding on the last day of the calendar month before the date of each automatic increase; or (ii) a lesser number of shares determined by our board of directors prior to the applicable January 1st. In addition, our 2021 Employee Stock Purchase Plan (ESPP) authorizes the issuance of shares of our common stock under purchase rights granted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or to employees of any of our designated affiliates. The number of shares of our common stock reserved for issuance under the ESPP automatically increases on January 1 of each calendar year by the lesser of 1% of the total number of shares of our common stock outstanding on December 31 of the preceding calendar year and 1,200,000 shares, subject to the ability of our board of directors to take action to reduce the size of the increase in any given year. Increases in the number of shares available for future grant or purchase may result in additional dilution, which could cause our stock price to fall.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to public company reporting and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listed on the Nasdaq Global Select Market, we incur significant expenses for director and officer insurance, legal services, accounting services and other expenses that we did not incur as a private company. In addition, the Sarbanes-Oxley Act, as well as rules subsequently implemented by the SEC, and the Nasdaq Global Select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required the SEC to adopt rules and regulations in these areas such as “say on pay” and proxy access. Recent legislation permits smaller “emerging growth companies” to implement many of these requirements over a longer period and up to five years from the pricing of our initial public offering. We intend to continue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increase our legal and financial compliance costs and make some activities more time-consuming and costlier. For example, these rules and regulations make it more difficult and more expensive for us to obtain director and officer liability insurance and we are required to incur substantial costs to maintain our current levels of such coverage.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requirements of the Sarbanes-Oxley Act, the regulations of the Nasdaq Global Select Market, the rules and regulations of the SEC, expanded disclosure requirements, accelerated reporting requirements and more complex accounting rules. We expect that the requirements of these rules and regulations will continue to increase our legal, accounting and financial compliance costs, make some activities more difficult, time-consuming and costly and place significant strain on our personnel, systems and resources. Company responsibilities required by the Sarbanes-Oxley Act include, among other things, that we maintain corporate oversight and adequate internal control over financial reporting and disclosure controls and procedures.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internal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effect on the trading price of our common stock. In addition, if we are unable to continue to meet these requirements, we may not be able to remain listed on the Nasdaq Global Select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Operations—Recent Accounting Pronouncements.”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U.S. government recently enacted the OBBBA, which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The current administration and Congress could also enact other tax law changes that could have an adverse effect on our operations, cash flows and results from operations and contribute to overall market volatility. In addition, it is uncertain if and to what extent various states will conform to federal tax legislation.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information technology systems or sensitive data, or those of our third-party CROs or other contractors, consultants, or third parties with whom we work, may fail or suffer security incidents, loss or leakage of data, and other disruptions, which could result in a material disruption of our product candidates’ development programs, compromise sensitive data related to our business or prevent us from accessing critical information, potentially exposing us to liability or otherwise adversely affecting our business,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or our third-party CROs or other contractors or consultants acting on our behalf process proprietary, confidential, and sensitive data (including but not limited to intellectual property, proprietary business information, health-related data, and personal data) (collectively,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misconduct or error (such as theft or misuse), sophisticated nation-state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We and our third-party CROs or other contractors or consultants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or harvesting, ransomware attacks,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supply-chain attacks, software bugs, server malfunction, software or hardware failures, loss of data or other information technology assets, adware, telecommunications failures, attacks enhanced or facilitated by AI, earthquakes, fire, flood, and other similar threats. 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 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and security incidents. We have not and may not in the future, however, be able to detect and remediate all such vulnerabilities and security incidents, including on a timely basis. Further, we have and may in the future experience delays in developing and deploying remedial measures and patches designed to address any such identified vulnerabilities and security incidents. Vulnerabilities could be exploited and result in 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outsourced elements of our operations to third parties, including, without limitation, cloud-based infrastructure, data center facilities, encryption and authentication technology, employee email, and other functions, and as a result we rely on a number of third-party contractors who have access to our sensitive information. We share or receive sensitive information with or from third parties. Our ability to monitor these third parties’ cybersecurity practices is limited, and these third parties may not have adequate information security measures in place. If the third parties with whom we work experience a security incident or other interruption, which has occurred in the past, we could experience adverse consequences. While we may be entitled to damages if the third parties with whom we work fail to satisfy their privacy or security-related obligations to us, any award may be insufficient to cover our damages, or we may be unable to recover such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and has in the past. For example, we frequently experience minor phishing attempts and may experience more significant phishing attempts in the future. A security incident or other interruption could result in unauthorized, unlawful or accidental acquisition, modification, destruction, loss, alteration, encryption, disclosure of or access to data. A security incident or other interruption could disrupt our (and third parties upon whom we rely) ability to develop or provide our products or conduct clinical trials. We may expend significant resources or modify our business activities (including our clinical trial activities) in an effort to protect against security incidents. Additionally, certain data privacy and security obligations require us to implement and maintain specific security measures, industry-standard or reasonable security measures to protect our information technology systems and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as well as public company disclosure obligations may require us, or we may choose, to notify relevant stakeholders, including affected individuals, regulators and investors, of certain security incidents or to take other actions, such as providing credit monitoring and identity protection services. Such disclosures and related actions can be costly, and the disclosures or the failure to comply with applicable requirements could lead to adverse impacts. If we (or a third party with whom we work) experience a security incident or are perceived to have experienced a security incident, which has occurred in the past, we may experience adverse consequences. These consequences may include the following: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impact our ability to conduct clinical trials or bring any approved products to market, and negatively impact our ability to grow and operate our business.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experiencing a material cybersecurity incident and any mandatory disclosures could lead to negative publicity, loss of investor or partner confidence in the effectiveness of our cybersecurity measures, diversion of management’s attention, governmental investigations, lawsuits, and the expenditure of significant capital and other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and research facility are located in the county of San Diego,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and foreign anti-corruption, anti-money laundering, export control, sanctions, and other trade laws and regulations (collectively, Trade Laws),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nonclinical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or contract with, and any liability could exceed our resources. We also could incur significant costs associated with civil or criminal fines and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may also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with three-year staggered terms, which could delay the ability of stockholders to change the membership of a majority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acquirer to affect such amendments to facilitate an unsolicited takeover attempt;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these provisions could negatively affect the price of our common stock and limit opportunities for you to realize value in a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of breach of a fiduciary duty; (iii) any action or proceeding asserting a claim against us or any of our current or former directors, officers or other employees, arising out of or pursuant to any provision of the DGCL, our amended and restated certificate of incorporation or our amended and restated bylaws; and (iv) any action asserting a claim against us or any of our directors, officers or other employees, governed by the internal affairs doctrine; provided, that, this provision would not apply to suits brought to enforce a duty or liability created by the Exchange Act, or any other claim for which the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and may discourage these types of lawsuits against us and our directors, officers, and other employees.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both state and federal court, or other jurisdictions which could seriously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 the past. These disruptions have resulted or can result in severely diminished liquidity and credit availability, high inflation, rising interest rates, declines in consumer confidence, disruptions in access to bank deposits or lending commitments due to bank failures and uncertainty about economic stability,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investment securities could also be adversely impacted. Failure to secure any necessary financing in a timely manner and on favorable terms could have a material adverse effect on our operations, growth strategy, financial performance and stock price and could require us to delay or abandon clinical or research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and geo-political events could also have a serious adverse impact on our business. While we cannot predict the broader consequences, the conflict and retaliatory and counter-retaliatory actions has affected and could further affect, potentially materially and adversely,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there are substantial sales of shares of our common stock, the market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securities or industry analysts publish about us or our business. If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28" w:name="item_2_unregistered_sales_equity_securit"/>
      <w:bookmarkEnd w:id="2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2021, we commenced our initial public offering pursuant to a registration statement on Form S-1 (File No. 333-253954) that was declared effective by the SEC on March 25, 2021, for 12,000,000 shares of our common stock for sale to the public at a price of $20.00 per share. In addition, in March 2021, the underwriters exercised their over-allotment option to purchase 1,800,000 additional shares of our common stock in the initial public offering at the public offering price of $20.00 per share, such that the aggregate offering price of our initial public offering was $276.0 million. The net offering proceeds to us, after deducting underwriting discounts and commissions and offering costs, were $254.3 million. No offering expenses were paid directly or indirectly to any of our directors or officers (or their associates) or persons owning 10% or more of any class of our equity securities or to any other affiliates. The underwriters for our initial public offering were Goldman Sachs &amp; Co. LLC, SVB Leerink LLC and Piper Sandler &amp; 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proceeds from our initial public offering are being held in cash, cash equivalents and investment securities, primarily in money market funds invested in U.S. government agency securities and U.S. Treasury securities. These investments are made pursuant to our investment policy and we may further invest these funds in high-quality marketable debt instruments of corporations and government sponsored enterprises with contractual maturity dates of generally less than two years until needed to fund our operations. There has been no material change in the use of proceeds from our initial public offering as described in our final prospectus filed with the SEC pursuant to Rule 424(b)(4) on March 26, 2021 and through September 30, 2026, we had used approximately $163.6 million of the net proceeds received from our initial public offering to support our operations.</w:t>
      </w:r>
    </w:p>
    <w:p>
      <w:pPr>
        <w:pStyle w:val="TextBody"/>
        <w:bidi w:val="0"/>
        <w:spacing w:before="360" w:after="283"/>
        <w:jc w:val="left"/>
        <w:rPr>
          <w:rFonts w:ascii="Times New Roman" w:hAnsi="Times New Roman"/>
          <w:b/>
          <w:color w:val="000000"/>
          <w:sz w:val="20"/>
        </w:rPr>
      </w:pPr>
      <w:bookmarkStart w:id="29" w:name="item_3_defaults_upon_senior_securities"/>
      <w:bookmarkEnd w:id="2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30" w:name="item_4_mine_safety_disclosures"/>
      <w:bookmarkEnd w:id="3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31" w:name="item_5_or_information"/>
      <w:bookmarkEnd w:id="31"/>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disclosures required by this Item 5, including those relating to “Rule 10b5-1 trading arrangements” and “non-Rule 10b5-1 trading arrangements” as those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32" w:name="item_6_exhibits"/>
      <w:bookmarkEnd w:id="32"/>
      <w:r>
        <w:rPr>
          <w:rFonts w:ascii="Times New Roman" w:hAnsi="Times New Roman"/>
          <w:b/>
          <w:color w:val="000000"/>
          <w:sz w:val="20"/>
        </w:rPr>
        <w:t>Item 6. Exhibits.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c>
          <w:tcPr>
            <w:tcW w:w="77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Amended and Restated Certificate of Incorporation (incorporated by reference to Exhibit 3.1 to the Registrant’s Current Report on Form 8-K, filed March 30, 2021).</w:t>
              </w:r>
            </w:hyperlink>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Amended and Restated Bylaws (incorporated by reference to Exhibit 3.2 to the Registrant’s Current Report on Form 8-K, filed March 30, 2021).</w:t>
              </w:r>
            </w:hyperlink>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Form of Common Stock Certificate (incorporated by reference to Exhibit 4.1 to the Registrant’s Registration Statement on Form S-1, as amended, filed March 22, 2021).</w:t>
              </w:r>
            </w:hyperlink>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hyperlink w:anchor="dsgn-ex5_1.htm">
              <w:r>
                <w:rPr>
                  <w:rStyle w:val="InternetLink"/>
                  <w:rFonts w:ascii="Times New Roman" w:hAnsi="Times New Roman"/>
                  <w:color w:val="0000FF"/>
                  <w:sz w:val="20"/>
                  <w:u w:val="single"/>
                </w:rPr>
                <w:t>Opinion of Cooley LLP.</w:t>
              </w:r>
            </w:hyperlink>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Cooley LLP (included in Exhibit 5.1).</w:t>
            </w:r>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hyperlink w:anchor="dsgn-ex31_1.htm">
              <w:r>
                <w:rPr>
                  <w:rStyle w:val="InternetLink"/>
                  <w:rFonts w:ascii="Times New Roman" w:hAnsi="Times New Roman"/>
                  <w:color w:val="0000FF"/>
                  <w:sz w:val="20"/>
                  <w:u w:val="single"/>
                </w:rPr>
                <w:t>Certification of Principal Executive and Financial Officer Pursuant to Rules 13a-14(a) and 15d-14(a) under the Securities Exchange Act of 1934, as Adopted Pursuant to Section 302 of the Sarbanes-Oxley Act of 2002.</w:t>
              </w:r>
            </w:hyperlink>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hyperlink w:anchor="dsgn-ex32_1.htm">
              <w:r>
                <w:rPr>
                  <w:rStyle w:val="InternetLink"/>
                  <w:rFonts w:ascii="Times New Roman" w:hAnsi="Times New Roman"/>
                  <w:color w:val="0000FF"/>
                  <w:sz w:val="20"/>
                  <w:u w:val="single"/>
                </w:rPr>
                <w:t>Certification of Principal Executive and Financial Officer Pursuant to 18 U.S.C. Section 1350, as Adopted Pursuant to Section 906 of the Sarbanes-Oxley Act of 2002.</w:t>
              </w:r>
            </w:hyperlink>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c>
          <w:tcPr>
            <w:tcW w:w="7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pPr>
      <w:r>
        <w:t> </w:t>
      </w:r>
    </w:p>
    <w:tbl>
      <w:tblPr>
        <w:tblW w:w="7102" w:type="dxa"/>
        <w:jc w:val="left"/>
        <w:tblInd w:w="0" w:type="dxa"/>
        <w:tblLayout w:type="fixed"/>
        <w:tblCellMar>
          <w:top w:w="28" w:type="dxa"/>
          <w:left w:w="28" w:type="dxa"/>
          <w:bottom w:w="28" w:type="dxa"/>
          <w:right w:w="28" w:type="dxa"/>
        </w:tblCellMar>
      </w:tblPr>
      <w:tblGrid>
        <w:gridCol w:w="2101"/>
        <w:gridCol w:w="109"/>
        <w:gridCol w:w="406"/>
        <w:gridCol w:w="448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Design Therapeutics, Inc.</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Pratik Shah, Ph.D.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Pratik Shah, Ph.D.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Chairperson</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pPr>
      <w:r/>
    </w:p>
    <w:p>
      <w:pPr>
        <w:pStyle w:val="TextBody"/>
        <w:bidi w:val="0"/>
        <w:spacing w:before="0" w:after="720"/>
        <w:ind w:left="0" w:right="0" w:hanging="0"/>
        <w:jc w:val="left"/>
      </w:pPr>
      <w:bookmarkStart w:id="34" w:name="dsgn-ex5_1.htm"/>
      <w:bookmarkStart w:id="35" w:name="ksdsgnex5_1"/>
      <w:bookmarkEnd w:id="34"/>
      <w:bookmarkEnd w:id="35"/>
      <w:r>
        <w:drawing>
          <wp:inline distT="0" distB="0" distL="0" distR="0">
            <wp:extent cx="1295400" cy="4191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5"/>
                    <a:stretch>
                      <a:fillRect/>
                    </a:stretch>
                  </pic:blipFill>
                  <pic:spPr bwMode="auto">
                    <a:xfrm>
                      <a:off x="0" y="0"/>
                      <a:ext cx="1295400" cy="419100"/>
                    </a:xfrm>
                    <a:prstGeom prst="rect">
                      <a:avLst/>
                    </a:prstGeom>
                  </pic:spPr>
                </pic:pic>
              </a:graphicData>
            </a:graphic>
          </wp:inline>
        </w:drawing>
      </w:r>
      <w:r>
        <w:br w:type="page"/>
      </w:r>
    </w:p>
    <w:p>
      <w:pPr>
        <w:pStyle w:val="TextBody"/>
        <w:bidi w:val="0"/>
        <w:spacing w:before="0" w:after="240"/>
        <w:jc w:val="left"/>
      </w:pPr>
      <w:r>
        <w:t> </w:t>
      </w:r>
    </w:p>
    <w:tbl>
      <w:tblPr>
        <w:tblW w:w="2082" w:type="dxa"/>
        <w:jc w:val="left"/>
        <w:tblInd w:w="0" w:type="dxa"/>
        <w:tblLayout w:type="fixed"/>
        <w:tblCellMar>
          <w:top w:w="28" w:type="dxa"/>
          <w:left w:w="28" w:type="dxa"/>
          <w:bottom w:w="28" w:type="dxa"/>
          <w:right w:w="28" w:type="dxa"/>
        </w:tblCellMar>
      </w:tblPr>
      <w:tblGrid>
        <w:gridCol w:w="1891"/>
        <w:gridCol w:w="191"/>
      </w:tblGrid>
      <w:tr>
        <w:tc>
          <w:tcPr>
            <w:tcW w:w="18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89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Asa M. Henin</w:t>
            </w:r>
          </w:p>
          <w:p>
            <w:pPr>
              <w:pStyle w:val="TableContents"/>
              <w:bidi w:val="0"/>
              <w:jc w:val="left"/>
              <w:rPr>
                <w:rFonts w:ascii="Arial" w:hAnsi="Arial"/>
                <w:color w:val="000000"/>
                <w:sz w:val="20"/>
              </w:rPr>
            </w:pPr>
            <w:r>
              <w:rPr>
                <w:rFonts w:ascii="Arial" w:hAnsi="Arial"/>
                <w:color w:val="000000"/>
                <w:sz w:val="20"/>
              </w:rPr>
              <w:t>T: +1 858 550 6104</w:t>
            </w:r>
          </w:p>
          <w:p>
            <w:pPr>
              <w:pStyle w:val="TableContents"/>
              <w:bidi w:val="0"/>
              <w:spacing w:before="0" w:after="283"/>
              <w:jc w:val="left"/>
              <w:rPr>
                <w:rFonts w:ascii="Arial" w:hAnsi="Arial"/>
                <w:color w:val="000000"/>
                <w:sz w:val="20"/>
              </w:rPr>
            </w:pPr>
            <w:r>
              <w:rPr>
                <w:rFonts w:ascii="Arial" w:hAnsi="Arial"/>
                <w:color w:val="000000"/>
                <w:sz w:val="20"/>
              </w:rPr>
              <w:t>ahenin@cooley.com</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both"/>
        <w:rPr>
          <w:rFonts w:ascii="Arial" w:hAnsi="Arial"/>
          <w:color w:val="000000"/>
          <w:sz w:val="20"/>
        </w:rPr>
      </w:pPr>
      <w:r>
        <w:rPr>
          <w:rFonts w:ascii="Arial" w:hAnsi="Arial"/>
          <w:color w:val="000000"/>
          <w:sz w:val="20"/>
        </w:rPr>
        <w:t>November 4, 2026</w:t>
      </w:r>
    </w:p>
    <w:p>
      <w:pPr>
        <w:pStyle w:val="TextBody"/>
        <w:bidi w:val="0"/>
        <w:jc w:val="both"/>
      </w:pPr>
      <w:r>
        <w:t> </w:t>
      </w:r>
    </w:p>
    <w:p>
      <w:pPr>
        <w:pStyle w:val="TextBody"/>
        <w:bidi w:val="0"/>
        <w:jc w:val="both"/>
      </w:pPr>
      <w:r>
        <w:t> </w:t>
      </w:r>
    </w:p>
    <w:p>
      <w:pPr>
        <w:pStyle w:val="TextBody"/>
        <w:bidi w:val="0"/>
        <w:jc w:val="left"/>
        <w:rPr>
          <w:rFonts w:ascii="Arial" w:hAnsi="Arial"/>
          <w:color w:val="000000"/>
          <w:sz w:val="20"/>
        </w:rPr>
      </w:pPr>
      <w:r>
        <w:rPr>
          <w:rFonts w:ascii="Arial" w:hAnsi="Arial"/>
          <w:color w:val="000000"/>
          <w:sz w:val="20"/>
        </w:rPr>
        <w:t>Design Therapeutics, Inc.</w:t>
      </w:r>
    </w:p>
    <w:p>
      <w:pPr>
        <w:pStyle w:val="TextBody"/>
        <w:bidi w:val="0"/>
        <w:jc w:val="left"/>
        <w:rPr>
          <w:rFonts w:ascii="Arial" w:hAnsi="Arial"/>
          <w:color w:val="000000"/>
          <w:sz w:val="20"/>
        </w:rPr>
      </w:pPr>
      <w:r>
        <w:rPr>
          <w:rFonts w:ascii="Arial" w:hAnsi="Arial"/>
          <w:color w:val="000000"/>
          <w:sz w:val="20"/>
        </w:rPr>
        <w:t xml:space="preserve">6005 Hidden Valley Road, Suite 110 </w:t>
      </w:r>
    </w:p>
    <w:p>
      <w:pPr>
        <w:pStyle w:val="TextBody"/>
        <w:bidi w:val="0"/>
        <w:jc w:val="left"/>
        <w:rPr>
          <w:rFonts w:ascii="Arial" w:hAnsi="Arial"/>
          <w:color w:val="000000"/>
          <w:sz w:val="20"/>
        </w:rPr>
      </w:pPr>
      <w:r>
        <w:rPr>
          <w:rFonts w:ascii="Arial" w:hAnsi="Arial"/>
          <w:color w:val="000000"/>
          <w:sz w:val="20"/>
        </w:rPr>
        <w:t>Carlsbad, CA 92011</w:t>
      </w:r>
    </w:p>
    <w:p>
      <w:pPr>
        <w:pStyle w:val="TextBody"/>
        <w:bidi w:val="0"/>
        <w:jc w:val="left"/>
      </w:pPr>
      <w:r>
        <w:t> </w:t>
      </w:r>
    </w:p>
    <w:p>
      <w:pPr>
        <w:pStyle w:val="TextBody"/>
        <w:bidi w:val="0"/>
        <w:spacing w:before="0" w:after="240"/>
        <w:jc w:val="both"/>
        <w:rPr>
          <w:rFonts w:ascii="Arial" w:hAnsi="Arial"/>
          <w:color w:val="000000"/>
          <w:sz w:val="20"/>
        </w:rPr>
      </w:pPr>
      <w:r>
        <w:rPr>
          <w:rFonts w:ascii="Arial" w:hAnsi="Arial"/>
          <w:color w:val="000000"/>
          <w:sz w:val="20"/>
        </w:rPr>
        <w:t>Ladies and Gentlemen:</w:t>
      </w:r>
    </w:p>
    <w:p>
      <w:pPr>
        <w:pStyle w:val="TextBody"/>
        <w:bidi w:val="0"/>
        <w:spacing w:lineRule="auto" w:line="360"/>
        <w:jc w:val="both"/>
        <w:rPr>
          <w:rFonts w:ascii="Arial" w:hAnsi="Arial"/>
          <w:sz w:val="13"/>
        </w:rPr>
      </w:pPr>
      <w:r>
        <w:rPr>
          <w:rFonts w:ascii="Arial" w:hAnsi="Arial"/>
          <w:color w:val="000000"/>
          <w:sz w:val="20"/>
        </w:rPr>
        <w:t>We have acted as counsel to Design Therapeutics, Inc., a Delaware corporation (the “</w:t>
      </w:r>
      <w:r>
        <w:rPr>
          <w:rFonts w:ascii="Arial" w:hAnsi="Arial"/>
          <w:b/>
          <w:i/>
          <w:color w:val="000000"/>
          <w:sz w:val="20"/>
        </w:rPr>
        <w:t>Company</w:t>
      </w:r>
      <w:r>
        <w:rPr>
          <w:rFonts w:ascii="Arial" w:hAnsi="Arial"/>
          <w:color w:val="000000"/>
          <w:sz w:val="13"/>
        </w:rPr>
        <w:t>”</w:t>
      </w:r>
      <w:r>
        <w:rPr>
          <w:rFonts w:ascii="Arial" w:hAnsi="Arial"/>
          <w:color w:val="000000"/>
          <w:sz w:val="20"/>
        </w:rPr>
        <w:t>), in connection with the offering by the Company of shares (the “</w:t>
      </w:r>
      <w:r>
        <w:rPr>
          <w:rFonts w:ascii="Arial" w:hAnsi="Arial"/>
          <w:b/>
          <w:i/>
          <w:color w:val="000000"/>
          <w:sz w:val="20"/>
        </w:rPr>
        <w:t>Shares</w:t>
      </w:r>
      <w:r>
        <w:rPr>
          <w:rFonts w:ascii="Arial" w:hAnsi="Arial"/>
          <w:color w:val="000000"/>
          <w:sz w:val="13"/>
        </w:rPr>
        <w:t>”</w:t>
      </w:r>
      <w:r>
        <w:rPr>
          <w:rFonts w:ascii="Arial" w:hAnsi="Arial"/>
          <w:color w:val="000000"/>
          <w:sz w:val="20"/>
        </w:rPr>
        <w:t>) of its common stock, par value $0.0001 per share (“</w:t>
      </w:r>
      <w:r>
        <w:rPr>
          <w:rFonts w:ascii="Arial" w:hAnsi="Arial"/>
          <w:b/>
          <w:i/>
          <w:color w:val="000000"/>
          <w:sz w:val="20"/>
        </w:rPr>
        <w:t>Common Stock</w:t>
      </w:r>
      <w:r>
        <w:rPr>
          <w:rFonts w:ascii="Arial" w:hAnsi="Arial"/>
          <w:color w:val="000000"/>
          <w:sz w:val="13"/>
        </w:rPr>
        <w:t>”</w:t>
      </w:r>
      <w:r>
        <w:rPr>
          <w:rFonts w:ascii="Arial" w:hAnsi="Arial"/>
          <w:color w:val="000000"/>
          <w:sz w:val="20"/>
        </w:rPr>
        <w:t xml:space="preserve">), having an aggregate offering price of up to $200,000,000 pursuant to the Registration Statement on Form S-3 (File No. 333-287043) (the </w:t>
      </w:r>
      <w:r>
        <w:rPr>
          <w:rFonts w:ascii="Arial" w:hAnsi="Arial"/>
          <w:color w:val="000000"/>
          <w:sz w:val="13"/>
        </w:rPr>
        <w:t>“</w:t>
      </w:r>
      <w:r>
        <w:rPr>
          <w:rFonts w:ascii="Arial" w:hAnsi="Arial"/>
          <w:b/>
          <w:i/>
          <w:color w:val="000000"/>
          <w:sz w:val="20"/>
        </w:rPr>
        <w:t>Registration Statement</w:t>
      </w:r>
      <w:r>
        <w:rPr>
          <w:rFonts w:ascii="Arial" w:hAnsi="Arial"/>
          <w:color w:val="000000"/>
          <w:sz w:val="13"/>
        </w:rPr>
        <w:t>”</w:t>
      </w:r>
      <w:r>
        <w:rPr>
          <w:rFonts w:ascii="Arial" w:hAnsi="Arial"/>
          <w:color w:val="000000"/>
          <w:sz w:val="20"/>
        </w:rPr>
        <w:t xml:space="preserve">) filed with the Securities and Exchange Commission (the </w:t>
      </w:r>
      <w:r>
        <w:rPr>
          <w:rFonts w:ascii="Arial" w:hAnsi="Arial"/>
          <w:color w:val="000000"/>
          <w:sz w:val="13"/>
        </w:rPr>
        <w:t>“</w:t>
      </w:r>
      <w:r>
        <w:rPr>
          <w:rFonts w:ascii="Arial" w:hAnsi="Arial"/>
          <w:b/>
          <w:i/>
          <w:color w:val="000000"/>
          <w:sz w:val="20"/>
        </w:rPr>
        <w:t>Commission</w:t>
      </w:r>
      <w:r>
        <w:rPr>
          <w:rFonts w:ascii="Arial" w:hAnsi="Arial"/>
          <w:color w:val="000000"/>
          <w:sz w:val="13"/>
        </w:rPr>
        <w:t>”</w:t>
      </w:r>
      <w:r>
        <w:rPr>
          <w:rFonts w:ascii="Arial" w:hAnsi="Arial"/>
          <w:color w:val="000000"/>
          <w:sz w:val="20"/>
        </w:rPr>
        <w:t>) under the Securities Act of 1933, as amended (the “</w:t>
      </w:r>
      <w:r>
        <w:rPr>
          <w:rFonts w:ascii="Arial" w:hAnsi="Arial"/>
          <w:b/>
          <w:i/>
          <w:color w:val="000000"/>
          <w:sz w:val="20"/>
        </w:rPr>
        <w:t>Securities Act</w:t>
      </w:r>
      <w:r>
        <w:rPr>
          <w:rFonts w:ascii="Arial" w:hAnsi="Arial"/>
          <w:color w:val="000000"/>
          <w:sz w:val="13"/>
        </w:rPr>
        <w:t>”</w:t>
      </w:r>
      <w:r>
        <w:rPr>
          <w:rFonts w:ascii="Arial" w:hAnsi="Arial"/>
          <w:color w:val="000000"/>
          <w:sz w:val="20"/>
        </w:rPr>
        <w:t>), the prospectus included in the Registration Statement (the “</w:t>
      </w:r>
      <w:r>
        <w:rPr>
          <w:rFonts w:ascii="Arial" w:hAnsi="Arial"/>
          <w:b/>
          <w:i/>
          <w:color w:val="000000"/>
          <w:sz w:val="20"/>
        </w:rPr>
        <w:t>Base Prospectus</w:t>
      </w:r>
      <w:r>
        <w:rPr>
          <w:rFonts w:ascii="Arial" w:hAnsi="Arial"/>
          <w:color w:val="000000"/>
          <w:sz w:val="13"/>
        </w:rPr>
        <w:t>”</w:t>
      </w:r>
      <w:r>
        <w:rPr>
          <w:rFonts w:ascii="Arial" w:hAnsi="Arial"/>
          <w:color w:val="000000"/>
          <w:sz w:val="20"/>
        </w:rPr>
        <w:t>) and the prospectus supplement dated November 4, 2026 to be filed with the Commission pursuant to Rule 424(b) under the Securities Act (together, the “</w:t>
      </w:r>
      <w:r>
        <w:rPr>
          <w:rFonts w:ascii="Arial" w:hAnsi="Arial"/>
          <w:b/>
          <w:i/>
          <w:color w:val="000000"/>
          <w:sz w:val="20"/>
        </w:rPr>
        <w:t>Prospectus</w:t>
      </w:r>
      <w:r>
        <w:rPr>
          <w:rFonts w:ascii="Arial" w:hAnsi="Arial"/>
          <w:color w:val="000000"/>
          <w:sz w:val="13"/>
        </w:rPr>
        <w:t>”</w:t>
      </w:r>
      <w:r>
        <w:rPr>
          <w:rFonts w:ascii="Arial" w:hAnsi="Arial"/>
          <w:color w:val="000000"/>
          <w:sz w:val="20"/>
        </w:rPr>
        <w:t>). The Shares are to be sold by the Company under the Open Market Sale Agreement</w:t>
      </w:r>
      <w:r>
        <w:rPr>
          <w:rFonts w:ascii="Arial" w:hAnsi="Arial"/>
          <w:color w:val="000000"/>
          <w:sz w:val="13"/>
        </w:rPr>
        <w:t>SM</w:t>
      </w:r>
      <w:r>
        <w:rPr>
          <w:rFonts w:ascii="Arial" w:hAnsi="Arial"/>
          <w:color w:val="000000"/>
          <w:sz w:val="20"/>
        </w:rPr>
        <w:t>, dated April 27, 2022, between the Company and Jefferies LLC (the “</w:t>
      </w:r>
      <w:r>
        <w:rPr>
          <w:rFonts w:ascii="Arial" w:hAnsi="Arial"/>
          <w:b/>
          <w:i/>
          <w:color w:val="000000"/>
          <w:sz w:val="20"/>
        </w:rPr>
        <w:t>Agreement</w:t>
      </w:r>
      <w:r>
        <w:rPr>
          <w:rFonts w:ascii="Arial" w:hAnsi="Arial"/>
          <w:color w:val="000000"/>
          <w:sz w:val="13"/>
        </w:rPr>
        <w:t>”</w:t>
      </w:r>
      <w:r>
        <w:rPr>
          <w:rFonts w:ascii="Arial" w:hAnsi="Arial"/>
          <w:color w:val="000000"/>
          <w:sz w:val="20"/>
        </w:rPr>
        <w:t>).</w:t>
      </w:r>
    </w:p>
    <w:p>
      <w:pPr>
        <w:pStyle w:val="TextBody"/>
        <w:bidi w:val="0"/>
        <w:jc w:val="both"/>
      </w:pPr>
      <w:r>
        <w:t> </w:t>
      </w:r>
    </w:p>
    <w:p>
      <w:pPr>
        <w:pStyle w:val="TextBody"/>
        <w:bidi w:val="0"/>
        <w:jc w:val="both"/>
        <w:rPr>
          <w:rFonts w:ascii="Arial" w:hAnsi="Arial"/>
          <w:color w:val="000000"/>
          <w:sz w:val="20"/>
        </w:rPr>
      </w:pPr>
      <w:r>
        <w:rPr>
          <w:rFonts w:ascii="Arial" w:hAnsi="Arial"/>
          <w:color w:val="000000"/>
          <w:sz w:val="20"/>
        </w:rPr>
        <w:t>In connection with this opinion, we have examined and relied upon (i) the Registration Statement and the Prospectus, (ii) the Agreement, (iii) the Company’s certificate of incorporation and bylaws, each as currently in effect, and (iv)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jc w:val="both"/>
      </w:pPr>
      <w:r>
        <w:t> </w:t>
      </w:r>
    </w:p>
    <w:p>
      <w:pPr>
        <w:pStyle w:val="TextBody"/>
        <w:bidi w:val="0"/>
        <w:jc w:val="both"/>
        <w:rPr>
          <w:rFonts w:ascii="Arial" w:hAnsi="Arial"/>
          <w:sz w:val="20"/>
        </w:rPr>
      </w:pPr>
      <w:r>
        <w:rPr>
          <w:rFonts w:ascii="Arial" w:hAnsi="Arial"/>
          <w:color w:val="000000"/>
          <w:sz w:val="20"/>
        </w:rPr>
        <w:t>We have assumed that (i) each sale of the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hAnsi="Arial"/>
          <w:b/>
          <w:i/>
          <w:color w:val="000000"/>
          <w:sz w:val="20"/>
        </w:rPr>
        <w:t>DGCL</w:t>
      </w:r>
      <w:r>
        <w:rPr>
          <w:rFonts w:ascii="Arial" w:hAnsi="Arial"/>
          <w:color w:val="000000"/>
          <w:sz w:val="20"/>
        </w:rPr>
        <w:t>”), (ii) no more than 25,000,000 Shares will be sold under the Agreement pursuant to the Prospectus and (iii) the price at which the Shares are sold will equal or exceed the par value per share of the Common Stock.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w:t>
      </w:r>
    </w:p>
    <w:p>
      <w:pPr>
        <w:pStyle w:val="TextBody"/>
        <w:bidi w:val="0"/>
        <w:jc w:val="both"/>
      </w:pPr>
      <w:r>
        <w:t> </w:t>
      </w:r>
    </w:p>
    <w:p>
      <w:pPr>
        <w:pStyle w:val="TextBody"/>
        <w:bidi w:val="0"/>
        <w:jc w:val="both"/>
        <w:rPr>
          <w:rFonts w:ascii="Arial" w:hAnsi="Arial"/>
          <w:color w:val="000000"/>
          <w:sz w:val="20"/>
        </w:rPr>
      </w:pPr>
      <w:r>
        <w:rPr>
          <w:rFonts w:ascii="Arial" w:hAnsi="Arial"/>
          <w:color w:val="000000"/>
          <w:sz w:val="20"/>
        </w:rPr>
        <w:t>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drawing>
          <wp:inline distT="0" distB="0" distL="0" distR="0">
            <wp:extent cx="1295400" cy="4191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6"/>
                    <a:stretch>
                      <a:fillRect/>
                    </a:stretch>
                  </pic:blipFill>
                  <pic:spPr bwMode="auto">
                    <a:xfrm>
                      <a:off x="0" y="0"/>
                      <a:ext cx="1295400" cy="419100"/>
                    </a:xfrm>
                    <a:prstGeom prst="rect">
                      <a:avLst/>
                    </a:prstGeom>
                  </pic:spPr>
                </pic:pic>
              </a:graphicData>
            </a:graphic>
          </wp:inline>
        </w:drawing>
      </w:r>
    </w:p>
    <w:tbl>
      <w:tblPr>
        <w:tblW w:w="2547" w:type="dxa"/>
        <w:jc w:val="left"/>
        <w:tblInd w:w="0" w:type="dxa"/>
        <w:tblLayout w:type="fixed"/>
        <w:tblCellMar>
          <w:top w:w="28" w:type="dxa"/>
          <w:left w:w="28" w:type="dxa"/>
          <w:bottom w:w="28" w:type="dxa"/>
          <w:right w:w="28" w:type="dxa"/>
        </w:tblCellMar>
      </w:tblPr>
      <w:tblGrid>
        <w:gridCol w:w="2356"/>
        <w:gridCol w:w="191"/>
      </w:tblGrid>
      <w:tr>
        <w:tc>
          <w:tcPr>
            <w:tcW w:w="23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356" w:type="dxa"/>
            <w:tcBorders/>
            <w:tcMar>
              <w:top w:w="0" w:type="dxa"/>
              <w:left w:w="0" w:type="dxa"/>
              <w:bottom w:w="0" w:type="dxa"/>
              <w:right w:w="0" w:type="dxa"/>
            </w:tcMar>
            <w:vAlign w:val="center"/>
          </w:tcPr>
          <w:p>
            <w:pPr>
              <w:pStyle w:val="TableContents"/>
              <w:bidi w:val="0"/>
              <w:jc w:val="left"/>
            </w:pPr>
            <w:r>
              <w:t> </w:t>
            </w:r>
          </w:p>
          <w:p>
            <w:pPr>
              <w:pStyle w:val="TableContents"/>
              <w:bidi w:val="0"/>
              <w:jc w:val="left"/>
            </w:pPr>
            <w:r>
              <w:t> </w:t>
            </w:r>
          </w:p>
          <w:p>
            <w:pPr>
              <w:pStyle w:val="TableContents"/>
              <w:bidi w:val="0"/>
              <w:jc w:val="left"/>
              <w:rPr>
                <w:rFonts w:ascii="Arial" w:hAnsi="Arial"/>
                <w:color w:val="000000"/>
                <w:sz w:val="20"/>
              </w:rPr>
            </w:pPr>
            <w:r>
              <w:rPr>
                <w:rFonts w:ascii="Arial" w:hAnsi="Arial"/>
                <w:color w:val="000000"/>
                <w:sz w:val="20"/>
              </w:rPr>
              <w:t>Design Therapeutics, Inc.</w:t>
            </w:r>
          </w:p>
          <w:p>
            <w:pPr>
              <w:pStyle w:val="TableContents"/>
              <w:bidi w:val="0"/>
              <w:jc w:val="left"/>
              <w:rPr>
                <w:rFonts w:ascii="Arial" w:hAnsi="Arial"/>
                <w:color w:val="000000"/>
                <w:sz w:val="20"/>
              </w:rPr>
            </w:pPr>
            <w:r>
              <w:rPr>
                <w:rFonts w:ascii="Arial" w:hAnsi="Arial"/>
                <w:color w:val="000000"/>
                <w:sz w:val="20"/>
              </w:rPr>
              <w:t>November 4, 2026</w:t>
            </w:r>
          </w:p>
          <w:p>
            <w:pPr>
              <w:pStyle w:val="TableContents"/>
              <w:bidi w:val="0"/>
              <w:spacing w:before="0" w:after="240"/>
              <w:jc w:val="left"/>
              <w:rPr>
                <w:rFonts w:ascii="Arial" w:hAnsi="Arial"/>
                <w:color w:val="000000"/>
                <w:sz w:val="20"/>
              </w:rPr>
            </w:pPr>
            <w:r>
              <w:rPr>
                <w:rFonts w:ascii="Arial" w:hAnsi="Arial"/>
                <w:color w:val="000000"/>
                <w:sz w:val="20"/>
              </w:rPr>
              <w:t>Page 2</w:t>
            </w:r>
          </w:p>
        </w:tc>
        <w:tc>
          <w:tcPr>
            <w:tcW w:w="191" w:type="dxa"/>
            <w:tcBorders/>
            <w:tcMar>
              <w:top w:w="0" w:type="dxa"/>
              <w:left w:w="0" w:type="dxa"/>
              <w:bottom w:w="0" w:type="dxa"/>
              <w:right w:w="0" w:type="dxa"/>
            </w:tcMar>
            <w:vAlign w:val="center"/>
          </w:tcPr>
          <w:p>
            <w:pPr>
              <w:pStyle w:val="TableContents"/>
              <w:bidi w:val="0"/>
              <w:spacing w:before="0" w:after="480"/>
              <w:jc w:val="right"/>
            </w:pPr>
            <w:r>
              <w:t> </w:t>
            </w:r>
          </w:p>
        </w:tc>
      </w:tr>
    </w:tbl>
    <w:p>
      <w:pPr>
        <w:pStyle w:val="TextBody"/>
        <w:bidi w:val="0"/>
        <w:jc w:val="left"/>
      </w:pPr>
      <w:r>
        <w:t> </w:t>
      </w:r>
    </w:p>
    <w:p>
      <w:pPr>
        <w:pStyle w:val="TextBody"/>
        <w:bidi w:val="0"/>
        <w:jc w:val="both"/>
        <w:rPr>
          <w:rFonts w:ascii="Arial" w:hAnsi="Arial"/>
          <w:color w:val="000000"/>
          <w:sz w:val="20"/>
        </w:rPr>
      </w:pPr>
      <w:r>
        <w:rPr>
          <w:rFonts w:ascii="Arial" w:hAnsi="Arial"/>
          <w:color w:val="000000"/>
          <w:sz w:val="20"/>
        </w:rPr>
        <w:t>On the basis of the foregoing, in reliance thereon and subject to the assumptions, qualifications, limitations and exceptions set forth herein, we are of the opinion that the Shares, when sold and issued against payment therefor in accordance with the Agreement, the Registration Statement and the Prospectus, will be validly issued, fully paid and nonassessable.</w:t>
      </w:r>
    </w:p>
    <w:p>
      <w:pPr>
        <w:pStyle w:val="TextBody"/>
        <w:bidi w:val="0"/>
        <w:jc w:val="both"/>
      </w:pPr>
      <w:r>
        <w:t> </w:t>
      </w:r>
    </w:p>
    <w:p>
      <w:pPr>
        <w:pStyle w:val="TextBody"/>
        <w:bidi w:val="0"/>
        <w:jc w:val="center"/>
        <w:rPr>
          <w:rFonts w:ascii="Arial" w:hAnsi="Arial"/>
          <w:color w:val="000000"/>
          <w:sz w:val="20"/>
        </w:rPr>
      </w:pPr>
      <w:r>
        <w:rPr>
          <w:rFonts w:ascii="Arial" w:hAnsi="Arial"/>
          <w:color w:val="000000"/>
          <w:sz w:val="20"/>
        </w:rPr>
        <w:t>* * * * *</w:t>
      </w:r>
    </w:p>
    <w:p>
      <w:pPr>
        <w:pStyle w:val="TextBody"/>
        <w:bidi w:val="0"/>
        <w:spacing w:before="240" w:after="283"/>
        <w:jc w:val="both"/>
        <w:rPr>
          <w:rFonts w:ascii="Arial" w:hAnsi="Arial"/>
          <w:color w:val="000000"/>
          <w:sz w:val="20"/>
        </w:rPr>
      </w:pPr>
      <w:r>
        <w:rPr>
          <w:rFonts w:ascii="Arial" w:hAnsi="Arial"/>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jc w:val="left"/>
      </w:pPr>
      <w:r>
        <w:t> </w:t>
      </w:r>
    </w:p>
    <w:p>
      <w:pPr>
        <w:pStyle w:val="TextBody"/>
        <w:bidi w:val="0"/>
        <w:jc w:val="left"/>
        <w:rPr>
          <w:rFonts w:ascii="Arial" w:hAnsi="Arial"/>
          <w:color w:val="000000"/>
          <w:sz w:val="20"/>
        </w:rPr>
      </w:pPr>
      <w:r>
        <w:rPr>
          <w:rFonts w:ascii="Arial" w:hAnsi="Arial"/>
          <w:color w:val="000000"/>
          <w:sz w:val="20"/>
        </w:rPr>
        <w:t>We consent to the reference to our firm under the heading “Legal Matters” in the Prospectus and to the filing of this opinion as an exhibit to the Company’s Quarterly Report on Form 10-Q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pStyle w:val="TextBody"/>
        <w:bidi w:val="0"/>
        <w:jc w:val="left"/>
      </w:pPr>
      <w:r>
        <w:t> </w:t>
      </w:r>
    </w:p>
    <w:p>
      <w:pPr>
        <w:pStyle w:val="TextBody"/>
        <w:bidi w:val="0"/>
        <w:jc w:val="left"/>
        <w:rPr>
          <w:rFonts w:ascii="Arial" w:hAnsi="Arial"/>
          <w:color w:val="000000"/>
          <w:sz w:val="20"/>
        </w:rPr>
      </w:pPr>
      <w:r>
        <w:rPr>
          <w:rFonts w:ascii="Arial" w:hAnsi="Arial"/>
          <w:color w:val="000000"/>
          <w:sz w:val="20"/>
        </w:rPr>
        <w:t>Very truly yours,</w:t>
      </w:r>
    </w:p>
    <w:p>
      <w:pPr>
        <w:pStyle w:val="TextBody"/>
        <w:bidi w:val="0"/>
        <w:jc w:val="left"/>
      </w:pPr>
      <w:r>
        <w:t> </w:t>
      </w:r>
    </w:p>
    <w:p>
      <w:pPr>
        <w:pStyle w:val="TextBody"/>
        <w:bidi w:val="0"/>
        <w:jc w:val="left"/>
        <w:rPr>
          <w:rFonts w:ascii="Arial" w:hAnsi="Arial"/>
          <w:sz w:val="20"/>
        </w:rPr>
      </w:pPr>
      <w:r>
        <w:rPr>
          <w:rFonts w:ascii="Arial" w:hAnsi="Arial"/>
          <w:color w:val="000000"/>
          <w:sz w:val="20"/>
        </w:rPr>
        <w:t xml:space="preserve">Cooley </w:t>
      </w:r>
      <w:r>
        <w:rPr>
          <w:rFonts w:ascii="Arial" w:hAnsi="Arial"/>
          <w:smallCaps/>
          <w:color w:val="000000"/>
          <w:sz w:val="20"/>
        </w:rPr>
        <w:t>LLP</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Arial" w:hAnsi="Arial"/>
          <w:sz w:val="20"/>
        </w:rPr>
      </w:pPr>
      <w:r>
        <w:rPr>
          <w:rFonts w:ascii="Arial" w:hAnsi="Arial"/>
          <w:color w:val="000000"/>
          <w:sz w:val="20"/>
        </w:rPr>
        <w:t xml:space="preserve">By: </w:t>
      </w:r>
      <w:r>
        <w:rPr>
          <w:rFonts w:ascii="Arial" w:hAnsi="Arial"/>
          <w:i/>
          <w:color w:val="000000"/>
          <w:sz w:val="20"/>
          <w:u w:val="single"/>
        </w:rPr>
        <w:t>/s/ Asa M. Henin</w:t>
      </w:r>
      <w:r>
        <w:rPr>
          <w:rFonts w:ascii="Arial" w:hAnsi="Arial"/>
          <w:color w:val="000000"/>
          <w:sz w:val="20"/>
          <w:u w:val="single"/>
        </w:rPr>
        <w:t xml:space="preserve"> </w:t>
      </w:r>
    </w:p>
    <w:p>
      <w:pPr>
        <w:pStyle w:val="TextBody"/>
        <w:bidi w:val="0"/>
        <w:spacing w:before="0" w:after="240"/>
        <w:jc w:val="left"/>
        <w:rPr>
          <w:rFonts w:ascii="Arial" w:hAnsi="Arial"/>
          <w:color w:val="000000"/>
          <w:sz w:val="20"/>
        </w:rPr>
      </w:pPr>
      <w:r>
        <w:rPr>
          <w:rFonts w:ascii="Arial" w:hAnsi="Arial"/>
          <w:color w:val="000000"/>
          <w:sz w:val="20"/>
        </w:rPr>
        <w:t>Asa M. Henin</w:t>
      </w:r>
    </w:p>
    <w:p>
      <w:pPr>
        <w:pStyle w:val="TextBody"/>
        <w:bidi w:val="0"/>
        <w:spacing w:before="0" w:after="240"/>
        <w:jc w:val="center"/>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6" w:name="dsgn-ex31_1.htm"/>
      <w:bookmarkStart w:id="37" w:name="ksdsgnex31_1"/>
      <w:bookmarkEnd w:id="36"/>
      <w:bookmarkEnd w:id="37"/>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Pratik Shah, Ph.D.,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Design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7139" w:type="dxa"/>
        <w:jc w:val="left"/>
        <w:tblInd w:w="0" w:type="dxa"/>
        <w:tblLayout w:type="fixed"/>
        <w:tblCellMar>
          <w:top w:w="28" w:type="dxa"/>
          <w:left w:w="28" w:type="dxa"/>
          <w:bottom w:w="28" w:type="dxa"/>
          <w:right w:w="28" w:type="dxa"/>
        </w:tblCellMar>
      </w:tblPr>
      <w:tblGrid>
        <w:gridCol w:w="2101"/>
        <w:gridCol w:w="146"/>
        <w:gridCol w:w="406"/>
        <w:gridCol w:w="4486"/>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Pratik Shah, Ph.D.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Pratik Shah, Ph.D.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Chairperson</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8" w:name="dsgn-ex32_1.htm"/>
      <w:bookmarkStart w:id="39" w:name="ksdsgnex32_1"/>
      <w:bookmarkEnd w:id="38"/>
      <w:bookmarkEnd w:id="39"/>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Quarterly Report on Form 10-Q of Design Therapeutics, Inc. (the “Company”) for the quarterly period ended September 30, 2026, to which this Certification is attached, as filed with the Securities and Exchange Commission on the date hereof (the “Report”), the undersigned officer of the Company hereby certifies, pursuant to 18 U.S.C. Section 1350, as adopted pursuant to §906 of the Sarbanes-Oxley Act of 2002,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undersigned has executed this Certification effective as of November 4, 2026.</w:t>
      </w:r>
    </w:p>
    <w:p>
      <w:pPr>
        <w:pStyle w:val="TextBody"/>
        <w:bidi w:val="0"/>
        <w:jc w:val="left"/>
      </w:pPr>
      <w:r>
        <w:t> </w:t>
      </w:r>
    </w:p>
    <w:tbl>
      <w:tblPr>
        <w:tblW w:w="5162" w:type="dxa"/>
        <w:jc w:val="left"/>
        <w:tblInd w:w="0" w:type="dxa"/>
        <w:tblLayout w:type="fixed"/>
        <w:tblCellMar>
          <w:top w:w="28" w:type="dxa"/>
          <w:left w:w="28" w:type="dxa"/>
          <w:bottom w:w="28" w:type="dxa"/>
          <w:right w:w="28" w:type="dxa"/>
        </w:tblCellMar>
      </w:tblPr>
      <w:tblGrid>
        <w:gridCol w:w="161"/>
        <w:gridCol w:w="109"/>
        <w:gridCol w:w="406"/>
        <w:gridCol w:w="4486"/>
      </w:tblGrid>
      <w:t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Pratik Shah, Ph.D.</w:t>
            </w:r>
          </w:p>
        </w:tc>
      </w:tr>
      <w:t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Pratik Shah, Ph.D.</w:t>
            </w:r>
          </w:p>
        </w:tc>
      </w:tr>
      <w:t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Chairperson</w:t>
            </w:r>
          </w:p>
        </w:tc>
      </w:tr>
      <w:t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and Financial Officer)</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7120/000119312521100253/d108026dex31.htm" TargetMode="External"/><Relationship Id="rId3" Type="http://schemas.openxmlformats.org/officeDocument/2006/relationships/hyperlink" Target="https://www.sec.gov/Archives/edgar/data/1807120/000119312521100253/d108026dex32.htm" TargetMode="External"/><Relationship Id="rId4" Type="http://schemas.openxmlformats.org/officeDocument/2006/relationships/hyperlink" Target="https://www.sec.gov/Archives/edgar/data/1807120/000119312521088348/d80825dex41.htm" TargetMode="External"/><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62184</Words>
  <Characters>348990</Characters>
  <CharactersWithSpaces>411144</CharactersWithSpaces>
  <Paragraphs>5195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