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right="1239"/>
        <w:spacing w:after="0" w:line="277" w:lineRule="auto"/>
        <w:rPr>
          <w:sz w:val="20"/>
          <w:szCs w:val="20"/>
          <w:color w:val="auto"/>
        </w:rPr>
      </w:pPr>
      <w:r>
        <w:rPr>
          <w:rFonts w:ascii="Times New Roman" w:cs="Times New Roman" w:eastAsia="Times New Roman" w:hAnsi="Times New Roman"/>
          <w:sz w:val="43"/>
          <w:szCs w:val="43"/>
          <w:color w:val="auto"/>
        </w:rPr>
        <w:drawing>
          <wp:anchor simplePos="0" relativeHeight="251657728" behindDoc="1" locked="0" layoutInCell="0" allowOverlap="1">
            <wp:simplePos x="0" y="0"/>
            <wp:positionH relativeFrom="page">
              <wp:posOffset>195580</wp:posOffset>
            </wp:positionH>
            <wp:positionV relativeFrom="page">
              <wp:posOffset>144780</wp:posOffset>
            </wp:positionV>
            <wp:extent cx="71577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page">
              <wp:posOffset>195580</wp:posOffset>
            </wp:positionH>
            <wp:positionV relativeFrom="page">
              <wp:posOffset>453390</wp:posOffset>
            </wp:positionV>
            <wp:extent cx="71577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7720" cy="42545"/>
                    </a:xfrm>
                    <a:prstGeom prst="rect">
                      <a:avLst/>
                    </a:prstGeom>
                    <a:noFill/>
                  </pic:spPr>
                </pic:pic>
              </a:graphicData>
            </a:graphic>
          </wp:anchor>
        </w:drawing>
        <w:t>SECURITIES AND EXCHANGE COMMISSION Washington, D.C. 20549</w:t>
      </w:r>
    </w:p>
    <w:p>
      <w:pPr>
        <w:spacing w:after="0" w:line="400" w:lineRule="exact"/>
        <w:rPr>
          <w:sz w:val="24"/>
          <w:szCs w:val="24"/>
          <w:color w:val="auto"/>
        </w:rPr>
      </w:pPr>
    </w:p>
    <w:p>
      <w:pPr>
        <w:spacing w:after="0"/>
        <w:rPr>
          <w:sz w:val="20"/>
          <w:szCs w:val="20"/>
          <w:color w:val="auto"/>
        </w:rPr>
      </w:pPr>
      <w:r>
        <w:rPr>
          <w:rFonts w:ascii="Times New Roman" w:cs="Times New Roman" w:eastAsia="Times New Roman" w:hAnsi="Times New Roman"/>
          <w:sz w:val="32"/>
          <w:szCs w:val="32"/>
          <w:color w:val="auto"/>
        </w:rPr>
        <w:t>SCHEDULE 13G</w:t>
      </w:r>
    </w:p>
    <w:p>
      <w:pPr>
        <w:spacing w:after="0" w:line="200" w:lineRule="exact"/>
        <w:rPr>
          <w:sz w:val="24"/>
          <w:szCs w:val="24"/>
          <w:color w:val="auto"/>
        </w:rPr>
      </w:pPr>
    </w:p>
    <w:p>
      <w:pPr>
        <w:spacing w:after="0" w:line="346" w:lineRule="exact"/>
        <w:rPr>
          <w:sz w:val="24"/>
          <w:szCs w:val="24"/>
          <w:color w:val="auto"/>
        </w:rPr>
      </w:pPr>
    </w:p>
    <w:p>
      <w:pPr>
        <w:spacing w:after="0"/>
        <w:rPr>
          <w:sz w:val="20"/>
          <w:szCs w:val="20"/>
          <w:color w:val="auto"/>
        </w:rPr>
      </w:pPr>
      <w:r>
        <w:rPr>
          <w:rFonts w:ascii="Times New Roman" w:cs="Times New Roman" w:eastAsia="Times New Roman" w:hAnsi="Times New Roman"/>
          <w:sz w:val="26"/>
          <w:szCs w:val="26"/>
          <w:color w:val="auto"/>
        </w:rPr>
        <w:t>UNDER THE SECURITIES EXCHANGE ACT OF 1934</w:t>
      </w:r>
    </w:p>
    <w:p>
      <w:pPr>
        <w:spacing w:after="0" w:line="106"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Design Therapeutics,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720"/>
        <w:spacing w:after="0"/>
        <w:rPr>
          <w:sz w:val="20"/>
          <w:szCs w:val="20"/>
          <w:color w:val="auto"/>
        </w:rPr>
      </w:pPr>
      <w:r>
        <w:rPr>
          <w:rFonts w:ascii="Times New Roman" w:cs="Times New Roman" w:eastAsia="Times New Roman" w:hAnsi="Times New Roman"/>
          <w:sz w:val="22"/>
          <w:szCs w:val="22"/>
          <w:b w:val="1"/>
          <w:bCs w:val="1"/>
          <w:color w:val="auto"/>
        </w:rPr>
        <w:t>(Name of Issuer)</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Common Stock, par value $0.0001 per share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220"/>
        <w:spacing w:after="0"/>
        <w:rPr>
          <w:sz w:val="20"/>
          <w:szCs w:val="20"/>
          <w:color w:val="auto"/>
        </w:rPr>
      </w:pPr>
      <w:r>
        <w:rPr>
          <w:rFonts w:ascii="Times New Roman" w:cs="Times New Roman" w:eastAsia="Times New Roman" w:hAnsi="Times New Roman"/>
          <w:sz w:val="22"/>
          <w:szCs w:val="22"/>
          <w:b w:val="1"/>
          <w:bCs w:val="1"/>
          <w:color w:val="auto"/>
        </w:rPr>
        <w:t>(Title of Class of Securities)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412115</wp:posOffset>
            </wp:positionV>
            <wp:extent cx="571754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53" w:lineRule="exact"/>
        <w:rPr>
          <w:sz w:val="24"/>
          <w:szCs w:val="24"/>
          <w:color w:val="auto"/>
        </w:rPr>
      </w:pPr>
    </w:p>
    <w:p>
      <w:pPr>
        <w:ind w:left="3680"/>
        <w:spacing w:after="0"/>
        <w:rPr>
          <w:sz w:val="20"/>
          <w:szCs w:val="20"/>
          <w:color w:val="auto"/>
        </w:rPr>
      </w:pPr>
      <w:r>
        <w:rPr>
          <w:rFonts w:ascii="Times New Roman" w:cs="Times New Roman" w:eastAsia="Times New Roman" w:hAnsi="Times New Roman"/>
          <w:sz w:val="22"/>
          <w:szCs w:val="22"/>
          <w:b w:val="1"/>
          <w:bCs w:val="1"/>
          <w:color w:val="auto"/>
        </w:rPr>
        <w:t>(CUSIP Number)</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06/08/2026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1920"/>
        <w:spacing w:after="0"/>
        <w:rPr>
          <w:sz w:val="20"/>
          <w:szCs w:val="20"/>
          <w:color w:val="auto"/>
        </w:rPr>
      </w:pPr>
      <w:r>
        <w:rPr>
          <w:rFonts w:ascii="Times New Roman" w:cs="Times New Roman" w:eastAsia="Times New Roman" w:hAnsi="Times New Roman"/>
          <w:sz w:val="22"/>
          <w:szCs w:val="22"/>
          <w:b w:val="1"/>
          <w:bCs w:val="1"/>
          <w:color w:val="auto"/>
        </w:rPr>
        <w:t>(Date of Event Which Requires Filing of this Statement)</w:t>
      </w:r>
    </w:p>
    <w:p>
      <w:pPr>
        <w:spacing w:after="0" w:line="200" w:lineRule="exact"/>
        <w:rPr>
          <w:sz w:val="24"/>
          <w:szCs w:val="24"/>
          <w:color w:val="auto"/>
        </w:rPr>
      </w:pPr>
    </w:p>
    <w:p>
      <w:pPr>
        <w:spacing w:after="0" w:line="36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Check the appropriate box to designate the rule pursuant to which this Schedule is filed:</w:t>
      </w:r>
    </w:p>
    <w:p>
      <w:pPr>
        <w:spacing w:after="0" w:line="5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-32385</wp:posOffset>
            </wp:positionH>
            <wp:positionV relativeFrom="paragraph">
              <wp:posOffset>92710</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-32385</wp:posOffset>
            </wp:positionH>
            <wp:positionV relativeFrom="paragraph">
              <wp:posOffset>178435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13" w:lineRule="exact"/>
        <w:rPr>
          <w:sz w:val="24"/>
          <w:szCs w:val="24"/>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CUSIP No.</w:t>
      </w:r>
    </w:p>
    <w:p>
      <w:pPr>
        <w:spacing w:after="0" w:line="200" w:lineRule="exact"/>
        <w:rPr>
          <w:sz w:val="24"/>
          <w:szCs w:val="24"/>
          <w:color w:val="auto"/>
        </w:rPr>
      </w:pPr>
    </w:p>
    <w:p>
      <w:pPr>
        <w:spacing w:after="0" w:line="361"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Point72 Asset Management, L.P.</w:t>
      </w:r>
    </w:p>
    <w:p>
      <w:pPr>
        <w:spacing w:after="0" w:line="20"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Check the appropriate box if a member of a Group (see instructions)</w:t>
      </w:r>
    </w:p>
    <w:p>
      <w:pPr>
        <w:spacing w:after="0" w:line="33" w:lineRule="exact"/>
        <w:rPr>
          <w:sz w:val="24"/>
          <w:szCs w:val="24"/>
          <w:color w:val="auto"/>
        </w:rPr>
      </w:pPr>
    </w:p>
    <w:p>
      <w:pPr>
        <w:ind w:left="1120" w:hanging="1112"/>
        <w:spacing w:after="0"/>
        <w:tabs>
          <w:tab w:leader="none" w:pos="1120" w:val="left"/>
        </w:tabs>
        <w:numPr>
          <w:ilvl w:val="0"/>
          <w:numId w:val="1"/>
        </w:numPr>
        <w:rPr>
          <w:rFonts w:ascii="Times New Roman" w:cs="Times New Roman" w:eastAsia="Times New Roman" w:hAnsi="Times New Roman"/>
          <w:sz w:val="43"/>
          <w:szCs w:val="43"/>
          <w:color w:val="auto"/>
          <w:vertAlign w:val="superscript"/>
        </w:rPr>
      </w:pPr>
      <w:r>
        <w:rPr>
          <w:sz w:val="1"/>
          <w:szCs w:val="1"/>
          <w:color w:val="auto"/>
        </w:rPr>
        <w:drawing>
          <wp:inline distT="0" distB="0" distL="0" distR="0">
            <wp:extent cx="128905" cy="128270"/>
            <wp:effectExtent l="0" t="0" r="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ind w:left="1120"/>
        <w:spacing w:after="0"/>
        <w:rPr>
          <w:rFonts w:ascii="Times New Roman" w:cs="Times New Roman" w:eastAsia="Times New Roman" w:hAnsi="Times New Roman"/>
          <w:sz w:val="43"/>
          <w:szCs w:val="43"/>
          <w:color w:val="auto"/>
          <w:vertAlign w:val="superscript"/>
        </w:rPr>
      </w:pPr>
      <w:r>
        <w:rPr>
          <w:rFonts w:ascii="Times New Roman" w:cs="Times New Roman" w:eastAsia="Times New Roman" w:hAnsi="Times New Roman"/>
          <w:sz w:val="1"/>
          <w:szCs w:val="1"/>
          <w:color w:val="auto"/>
          <w:vertAlign w:val="superscript"/>
        </w:rPr>
        <w:drawing>
          <wp:inline distT="0" distB="0" distL="0" distR="0">
            <wp:extent cx="128905" cy="128905"/>
            <wp:effectExtent l="0" t="0" r="0"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4"/>
          <w:szCs w:val="24"/>
          <w:color w:val="auto"/>
        </w:rPr>
      </w:pPr>
    </w:p>
    <w:p>
      <w:pPr>
        <w:ind w:left="1120" w:hanging="1112"/>
        <w:spacing w:after="0"/>
        <w:tabs>
          <w:tab w:leader="none" w:pos="1120" w:val="left"/>
        </w:tabs>
        <w:numPr>
          <w:ilvl w:val="0"/>
          <w:numId w:val="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Sec Use Only</w:t>
      </w:r>
    </w:p>
    <w:p>
      <w:pPr>
        <w:spacing w:after="0" w:line="44"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ind w:left="1120"/>
        <w:spacing w:after="0"/>
        <w:rPr>
          <w:sz w:val="20"/>
          <w:szCs w:val="20"/>
          <w:color w:val="auto"/>
        </w:rPr>
      </w:pPr>
      <w:r>
        <w:rPr>
          <w:rFonts w:ascii="Times New Roman" w:cs="Times New Roman" w:eastAsia="Times New Roman" w:hAnsi="Times New Roman"/>
          <w:sz w:val="22"/>
          <w:szCs w:val="22"/>
          <w:color w:val="auto"/>
        </w:rPr>
        <w:t>DELAWARE</w:t>
      </w:r>
    </w:p>
    <w:p>
      <w:pPr>
        <w:spacing w:after="0"/>
        <w:tabs>
          <w:tab w:leader="none" w:pos="1380" w:val="left"/>
        </w:tabs>
        <w:rPr>
          <w:sz w:val="20"/>
          <w:szCs w:val="20"/>
          <w:color w:val="auto"/>
        </w:rPr>
      </w:pPr>
      <w:r>
        <w:rPr>
          <w:rFonts w:ascii="Times New Roman" w:cs="Times New Roman" w:eastAsia="Times New Roman" w:hAnsi="Times New Roman"/>
          <w:sz w:val="33"/>
          <w:szCs w:val="33"/>
          <w:color w:val="auto"/>
          <w:vertAlign w:val="superscript"/>
        </w:rPr>
        <w:t>Number of</w:t>
      </w:r>
      <w:r>
        <w:rPr>
          <w:sz w:val="20"/>
          <w:szCs w:val="20"/>
          <w:color w:val="auto"/>
        </w:rPr>
        <w:tab/>
      </w:r>
      <w:r>
        <w:rPr>
          <w:rFonts w:ascii="Times New Roman" w:cs="Times New Roman" w:eastAsia="Times New Roman" w:hAnsi="Times New Roman"/>
          <w:sz w:val="21"/>
          <w:szCs w:val="21"/>
          <w:color w:val="auto"/>
        </w:rPr>
        <w:t>Sole Voting Power</w:t>
      </w:r>
    </w:p>
    <w:p>
      <w:pPr>
        <w:spacing w:after="0" w:line="181" w:lineRule="auto"/>
        <w:tabs>
          <w:tab w:leader="none" w:pos="1140" w:val="left"/>
        </w:tabs>
        <w:rPr>
          <w:sz w:val="20"/>
          <w:szCs w:val="20"/>
          <w:color w:val="auto"/>
        </w:rPr>
      </w:pPr>
      <w:r>
        <w:rPr>
          <w:rFonts w:ascii="Times New Roman" w:cs="Times New Roman" w:eastAsia="Times New Roman" w:hAnsi="Times New Roman"/>
          <w:sz w:val="16"/>
          <w:szCs w:val="16"/>
          <w:color w:val="auto"/>
        </w:rPr>
        <w:t>Shares</w:t>
      </w:r>
      <w:r>
        <w:rPr>
          <w:sz w:val="20"/>
          <w:szCs w:val="20"/>
          <w:color w:val="auto"/>
        </w:rPr>
        <w:tab/>
      </w:r>
      <w:r>
        <w:rPr>
          <w:rFonts w:ascii="Times New Roman" w:cs="Times New Roman" w:eastAsia="Times New Roman" w:hAnsi="Times New Roman"/>
          <w:sz w:val="28"/>
          <w:szCs w:val="28"/>
          <w:color w:val="auto"/>
          <w:vertAlign w:val="subscript"/>
        </w:rPr>
        <w:t>5</w:t>
      </w:r>
    </w:p>
    <w:p>
      <w:pPr>
        <w:spacing w:after="0" w:line="184" w:lineRule="auto"/>
        <w:tabs>
          <w:tab w:leader="none" w:pos="1380" w:val="left"/>
        </w:tabs>
        <w:rPr>
          <w:sz w:val="20"/>
          <w:szCs w:val="20"/>
          <w:color w:val="auto"/>
        </w:rPr>
      </w:pPr>
      <w:r>
        <w:rPr>
          <w:rFonts w:ascii="Times New Roman" w:cs="Times New Roman" w:eastAsia="Times New Roman" w:hAnsi="Times New Roman"/>
          <w:sz w:val="18"/>
          <w:szCs w:val="18"/>
          <w:color w:val="auto"/>
        </w:rPr>
        <w:t>Beneficially</w:t>
      </w:r>
      <w:r>
        <w:rPr>
          <w:sz w:val="20"/>
          <w:szCs w:val="20"/>
          <w:color w:val="auto"/>
        </w:rPr>
        <w:tab/>
      </w:r>
      <w:r>
        <w:rPr>
          <w:rFonts w:ascii="Times New Roman" w:cs="Times New Roman" w:eastAsia="Times New Roman" w:hAnsi="Times New Roman"/>
          <w:sz w:val="34"/>
          <w:szCs w:val="34"/>
          <w:color w:val="auto"/>
          <w:vertAlign w:val="subscript"/>
        </w:rPr>
        <w:t>0.00</w:t>
      </w:r>
    </w:p>
    <w:p>
      <w:pPr>
        <w:sectPr>
          <w:pgSz w:w="11900" w:h="16838" w:orient="portrait"/>
          <w:cols w:equalWidth="0" w:num="1">
            <w:col w:w="10099"/>
          </w:cols>
          <w:pgMar w:left="360" w:top="866" w:right="1440" w:bottom="0" w:gutter="0" w:footer="0" w:header="0"/>
        </w:sectPr>
      </w:pPr>
    </w:p>
    <w:bookmarkStart w:id="1" w:name="page2"/>
    <w:bookmarkEnd w:id="1"/>
    <w:tbl>
      <w:tblPr>
        <w:tblLayout w:type="fixed"/>
        <w:tblInd w:w="0" w:type="dxa"/>
        <w:tblCellMar>
          <w:top w:w="0" w:type="dxa"/>
          <w:left w:w="0" w:type="dxa"/>
          <w:bottom w:w="0" w:type="dxa"/>
          <w:right w:w="0" w:type="dxa"/>
        </w:tblCellMar>
      </w:tblPr>
      <w:tr>
        <w:trPr>
          <w:trHeight w:val="253"/>
        </w:trPr>
        <w:tc>
          <w:tcPr>
            <w:tcW w:w="1040" w:type="dxa"/>
            <w:vAlign w:val="bottom"/>
          </w:tcPr>
          <w:p>
            <w:pPr>
              <w:spacing w:after="0"/>
              <w:rPr>
                <w:sz w:val="20"/>
                <w:szCs w:val="20"/>
                <w:color w:val="auto"/>
              </w:rPr>
            </w:pPr>
            <w:r>
              <w:rPr>
                <w:rFonts w:ascii="Times New Roman" w:cs="Times New Roman" w:eastAsia="Times New Roman" w:hAnsi="Times New Roman"/>
                <w:sz w:val="22"/>
                <w:szCs w:val="22"/>
                <w:color w:val="auto"/>
              </w:rPr>
              <w:t>Owned by</w:t>
            </w:r>
          </w:p>
        </w:tc>
        <w:tc>
          <w:tcPr>
            <w:tcW w:w="3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6</w:t>
            </w:r>
          </w:p>
        </w:tc>
        <w:tc>
          <w:tcPr>
            <w:tcW w:w="208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Shared Voting Power</w:t>
            </w:r>
          </w:p>
        </w:tc>
        <w:tc>
          <w:tcPr>
            <w:tcW w:w="0" w:type="dxa"/>
            <w:vAlign w:val="bottom"/>
          </w:tcPr>
          <w:p>
            <w:pPr>
              <w:spacing w:after="0"/>
              <w:rPr>
                <w:sz w:val="1"/>
                <w:szCs w:val="1"/>
                <w:color w:val="auto"/>
              </w:rPr>
            </w:pPr>
          </w:p>
        </w:tc>
      </w:tr>
      <w:tr>
        <w:trPr>
          <w:trHeight w:val="243"/>
        </w:trPr>
        <w:tc>
          <w:tcPr>
            <w:tcW w:w="104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Each</w:t>
            </w:r>
          </w:p>
        </w:tc>
        <w:tc>
          <w:tcPr>
            <w:tcW w:w="300" w:type="dxa"/>
            <w:vAlign w:val="bottom"/>
          </w:tcPr>
          <w:p>
            <w:pPr>
              <w:spacing w:after="0"/>
              <w:rPr>
                <w:sz w:val="21"/>
                <w:szCs w:val="21"/>
                <w:color w:val="auto"/>
              </w:rPr>
            </w:pPr>
          </w:p>
        </w:tc>
        <w:tc>
          <w:tcPr>
            <w:tcW w:w="20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104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Reporting</w:t>
            </w:r>
          </w:p>
        </w:tc>
        <w:tc>
          <w:tcPr>
            <w:tcW w:w="300" w:type="dxa"/>
            <w:vAlign w:val="bottom"/>
          </w:tcPr>
          <w:p>
            <w:pPr>
              <w:spacing w:after="0"/>
              <w:rPr>
                <w:sz w:val="21"/>
                <w:szCs w:val="21"/>
                <w:color w:val="auto"/>
              </w:rPr>
            </w:pPr>
          </w:p>
        </w:tc>
        <w:tc>
          <w:tcPr>
            <w:tcW w:w="2080" w:type="dxa"/>
            <w:vAlign w:val="bottom"/>
          </w:tcPr>
          <w:p>
            <w:pPr>
              <w:ind w:left="60"/>
              <w:spacing w:after="0" w:line="243" w:lineRule="exact"/>
              <w:rPr>
                <w:sz w:val="20"/>
                <w:szCs w:val="20"/>
                <w:color w:val="auto"/>
              </w:rPr>
            </w:pPr>
            <w:r>
              <w:rPr>
                <w:rFonts w:ascii="Times New Roman" w:cs="Times New Roman" w:eastAsia="Times New Roman" w:hAnsi="Times New Roman"/>
                <w:sz w:val="22"/>
                <w:szCs w:val="22"/>
                <w:color w:val="auto"/>
              </w:rPr>
              <w:t>3,197,764.00</w:t>
            </w:r>
          </w:p>
        </w:tc>
        <w:tc>
          <w:tcPr>
            <w:tcW w:w="0" w:type="dxa"/>
            <w:vAlign w:val="bottom"/>
          </w:tcPr>
          <w:p>
            <w:pPr>
              <w:spacing w:after="0"/>
              <w:rPr>
                <w:sz w:val="1"/>
                <w:szCs w:val="1"/>
                <w:color w:val="auto"/>
              </w:rPr>
            </w:pPr>
          </w:p>
        </w:tc>
      </w:tr>
      <w:tr>
        <w:trPr>
          <w:trHeight w:val="270"/>
        </w:trPr>
        <w:tc>
          <w:tcPr>
            <w:tcW w:w="1040" w:type="dxa"/>
            <w:vAlign w:val="bottom"/>
          </w:tcPr>
          <w:p>
            <w:pPr>
              <w:spacing w:after="0"/>
              <w:rPr>
                <w:sz w:val="20"/>
                <w:szCs w:val="20"/>
                <w:color w:val="auto"/>
              </w:rPr>
            </w:pPr>
            <w:r>
              <w:rPr>
                <w:rFonts w:ascii="Times New Roman" w:cs="Times New Roman" w:eastAsia="Times New Roman" w:hAnsi="Times New Roman"/>
                <w:sz w:val="22"/>
                <w:szCs w:val="22"/>
                <w:color w:val="auto"/>
              </w:rPr>
              <w:t>Person</w:t>
            </w:r>
          </w:p>
        </w:tc>
        <w:tc>
          <w:tcPr>
            <w:tcW w:w="300" w:type="dxa"/>
            <w:vAlign w:val="bottom"/>
          </w:tcPr>
          <w:p>
            <w:pPr>
              <w:spacing w:after="0"/>
              <w:rPr>
                <w:sz w:val="23"/>
                <w:szCs w:val="23"/>
                <w:color w:val="auto"/>
              </w:rPr>
            </w:pPr>
          </w:p>
        </w:tc>
        <w:tc>
          <w:tcPr>
            <w:tcW w:w="2080" w:type="dxa"/>
            <w:vAlign w:val="bottom"/>
          </w:tcPr>
          <w:p>
            <w:pPr>
              <w:ind w:left="60"/>
              <w:spacing w:after="0"/>
              <w:rPr>
                <w:sz w:val="20"/>
                <w:szCs w:val="20"/>
                <w:color w:val="auto"/>
              </w:rPr>
            </w:pPr>
            <w:r>
              <w:rPr>
                <w:rFonts w:ascii="Times New Roman" w:cs="Times New Roman" w:eastAsia="Times New Roman" w:hAnsi="Times New Roman"/>
                <w:sz w:val="22"/>
                <w:szCs w:val="22"/>
                <w:color w:val="auto"/>
                <w:w w:val="96"/>
              </w:rPr>
              <w:t>Sole Dispositive Power</w:t>
            </w:r>
          </w:p>
        </w:tc>
        <w:tc>
          <w:tcPr>
            <w:tcW w:w="0" w:type="dxa"/>
            <w:vAlign w:val="bottom"/>
          </w:tcPr>
          <w:p>
            <w:pPr>
              <w:spacing w:after="0"/>
              <w:rPr>
                <w:sz w:val="1"/>
                <w:szCs w:val="1"/>
                <w:color w:val="auto"/>
              </w:rPr>
            </w:pPr>
          </w:p>
        </w:tc>
      </w:tr>
      <w:tr>
        <w:trPr>
          <w:trHeight w:val="309"/>
        </w:trPr>
        <w:tc>
          <w:tcPr>
            <w:tcW w:w="1040" w:type="dxa"/>
            <w:vAlign w:val="bottom"/>
          </w:tcPr>
          <w:p>
            <w:pPr>
              <w:spacing w:after="0"/>
              <w:rPr>
                <w:sz w:val="20"/>
                <w:szCs w:val="20"/>
                <w:color w:val="auto"/>
              </w:rPr>
            </w:pPr>
            <w:r>
              <w:rPr>
                <w:rFonts w:ascii="Times New Roman" w:cs="Times New Roman" w:eastAsia="Times New Roman" w:hAnsi="Times New Roman"/>
                <w:sz w:val="22"/>
                <w:szCs w:val="22"/>
                <w:color w:val="auto"/>
              </w:rPr>
              <w:t>With:</w:t>
            </w:r>
          </w:p>
        </w:tc>
        <w:tc>
          <w:tcPr>
            <w:tcW w:w="3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7</w:t>
            </w:r>
          </w:p>
        </w:tc>
        <w:tc>
          <w:tcPr>
            <w:tcW w:w="2080" w:type="dxa"/>
            <w:vAlign w:val="bottom"/>
            <w:vMerge w:val="restart"/>
          </w:tcPr>
          <w:p>
            <w:pPr>
              <w:ind w:left="60"/>
              <w:spacing w:after="0"/>
              <w:rPr>
                <w:sz w:val="20"/>
                <w:szCs w:val="20"/>
                <w:color w:val="auto"/>
              </w:rPr>
            </w:pPr>
            <w:r>
              <w:rPr>
                <w:rFonts w:ascii="Times New Roman" w:cs="Times New Roman" w:eastAsia="Times New Roman" w:hAnsi="Times New Roman"/>
                <w:sz w:val="22"/>
                <w:szCs w:val="22"/>
                <w:color w:val="auto"/>
              </w:rPr>
              <w:t>0.00</w:t>
            </w:r>
          </w:p>
        </w:tc>
        <w:tc>
          <w:tcPr>
            <w:tcW w:w="0" w:type="dxa"/>
            <w:vAlign w:val="bottom"/>
          </w:tcPr>
          <w:p>
            <w:pPr>
              <w:spacing w:after="0"/>
              <w:rPr>
                <w:sz w:val="1"/>
                <w:szCs w:val="1"/>
                <w:color w:val="auto"/>
              </w:rPr>
            </w:pPr>
          </w:p>
        </w:tc>
      </w:tr>
      <w:tr>
        <w:trPr>
          <w:trHeight w:val="243"/>
        </w:trPr>
        <w:tc>
          <w:tcPr>
            <w:tcW w:w="10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208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58"/>
        </w:trPr>
        <w:tc>
          <w:tcPr>
            <w:tcW w:w="104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208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Shared Dispositive</w:t>
            </w:r>
          </w:p>
        </w:tc>
        <w:tc>
          <w:tcPr>
            <w:tcW w:w="0" w:type="dxa"/>
            <w:vAlign w:val="bottom"/>
          </w:tcPr>
          <w:p>
            <w:pPr>
              <w:spacing w:after="0"/>
              <w:rPr>
                <w:sz w:val="1"/>
                <w:szCs w:val="1"/>
                <w:color w:val="auto"/>
              </w:rPr>
            </w:pPr>
          </w:p>
        </w:tc>
      </w:tr>
      <w:tr>
        <w:trPr>
          <w:trHeight w:val="404"/>
        </w:trPr>
        <w:tc>
          <w:tcPr>
            <w:tcW w:w="1040" w:type="dxa"/>
            <w:vAlign w:val="bottom"/>
          </w:tcPr>
          <w:p>
            <w:pPr>
              <w:spacing w:after="0"/>
              <w:rPr>
                <w:sz w:val="24"/>
                <w:szCs w:val="24"/>
                <w:color w:val="auto"/>
              </w:rPr>
            </w:pPr>
          </w:p>
        </w:tc>
        <w:tc>
          <w:tcPr>
            <w:tcW w:w="3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8</w:t>
            </w:r>
          </w:p>
        </w:tc>
        <w:tc>
          <w:tcPr>
            <w:tcW w:w="208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Power</w:t>
            </w:r>
          </w:p>
        </w:tc>
        <w:tc>
          <w:tcPr>
            <w:tcW w:w="0" w:type="dxa"/>
            <w:vAlign w:val="bottom"/>
          </w:tcPr>
          <w:p>
            <w:pPr>
              <w:spacing w:after="0"/>
              <w:rPr>
                <w:sz w:val="1"/>
                <w:szCs w:val="1"/>
                <w:color w:val="auto"/>
              </w:rPr>
            </w:pPr>
          </w:p>
        </w:tc>
      </w:tr>
      <w:tr>
        <w:trPr>
          <w:trHeight w:val="364"/>
        </w:trPr>
        <w:tc>
          <w:tcPr>
            <w:tcW w:w="10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08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3,197,764.00</w:t>
            </w:r>
          </w:p>
        </w:tc>
        <w:tc>
          <w:tcPr>
            <w:tcW w:w="0" w:type="dxa"/>
            <w:vAlign w:val="bottom"/>
          </w:tcPr>
          <w:p>
            <w:pPr>
              <w:spacing w:after="0"/>
              <w:rPr>
                <w:sz w:val="1"/>
                <w:szCs w:val="1"/>
                <w:color w:val="auto"/>
              </w:rPr>
            </w:pPr>
          </w:p>
        </w:tc>
      </w:tr>
    </w:tbl>
    <w:p>
      <w:pPr>
        <w:spacing w:after="0" w:line="55"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9</w:t>
      </w:r>
    </w:p>
    <w:p>
      <w:pPr>
        <w:ind w:left="1120"/>
        <w:spacing w:after="0"/>
        <w:rPr>
          <w:sz w:val="20"/>
          <w:szCs w:val="20"/>
          <w:color w:val="auto"/>
        </w:rPr>
      </w:pPr>
      <w:r>
        <w:rPr>
          <w:rFonts w:ascii="Times New Roman" w:cs="Times New Roman" w:eastAsia="Times New Roman" w:hAnsi="Times New Roman"/>
          <w:sz w:val="22"/>
          <w:szCs w:val="22"/>
          <w:color w:val="auto"/>
        </w:rPr>
        <w:t>3,197,764.00</w:t>
      </w:r>
    </w:p>
    <w:p>
      <w:pPr>
        <w:spacing w:after="0" w:line="19"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1"/>
          <w:szCs w:val="21"/>
          <w:color w:val="auto"/>
        </w:rPr>
        <w:t>Check box if the aggregate amount in row (9) excludes certain shares (See Instructions)</w:t>
      </w:r>
    </w:p>
    <w:p>
      <w:pPr>
        <w:spacing w:after="0"/>
        <w:rPr>
          <w:sz w:val="20"/>
          <w:szCs w:val="20"/>
          <w:color w:val="auto"/>
        </w:rPr>
      </w:pPr>
      <w:r>
        <w:rPr>
          <w:rFonts w:ascii="Times New Roman" w:cs="Times New Roman" w:eastAsia="Times New Roman" w:hAnsi="Times New Roman"/>
          <w:sz w:val="22"/>
          <w:szCs w:val="22"/>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716915</wp:posOffset>
            </wp:positionH>
            <wp:positionV relativeFrom="paragraph">
              <wp:posOffset>12700</wp:posOffset>
            </wp:positionV>
            <wp:extent cx="128905" cy="12890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30"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w:t>
      </w:r>
    </w:p>
    <w:p>
      <w:pPr>
        <w:ind w:left="1120"/>
        <w:spacing w:after="0"/>
        <w:rPr>
          <w:sz w:val="20"/>
          <w:szCs w:val="20"/>
          <w:color w:val="auto"/>
        </w:rPr>
      </w:pPr>
      <w:r>
        <w:rPr>
          <w:rFonts w:ascii="Times New Roman" w:cs="Times New Roman" w:eastAsia="Times New Roman" w:hAnsi="Times New Roman"/>
          <w:sz w:val="22"/>
          <w:szCs w:val="22"/>
          <w:color w:val="auto"/>
        </w:rPr>
        <w:t>5.1 %</w:t>
      </w:r>
    </w:p>
    <w:p>
      <w:pPr>
        <w:spacing w:after="0" w:line="20"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w:t>
      </w:r>
    </w:p>
    <w:p>
      <w:pPr>
        <w:ind w:left="1120"/>
        <w:spacing w:after="0"/>
        <w:rPr>
          <w:sz w:val="20"/>
          <w:szCs w:val="20"/>
          <w:color w:val="auto"/>
        </w:rPr>
      </w:pPr>
      <w:r>
        <w:rPr>
          <w:rFonts w:ascii="Times New Roman" w:cs="Times New Roman" w:eastAsia="Times New Roman" w:hAnsi="Times New Roman"/>
          <w:sz w:val="22"/>
          <w:szCs w:val="22"/>
          <w:color w:val="auto"/>
        </w:rPr>
        <w:t>PN</w:t>
      </w: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CUSIP No.</w:t>
      </w:r>
    </w:p>
    <w:p>
      <w:pPr>
        <w:spacing w:after="0" w:line="200" w:lineRule="exact"/>
        <w:rPr>
          <w:sz w:val="20"/>
          <w:szCs w:val="20"/>
          <w:color w:val="auto"/>
        </w:rPr>
      </w:pPr>
    </w:p>
    <w:p>
      <w:pPr>
        <w:spacing w:after="0" w:line="361"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Point72 Capital Advisors, Inc.</w:t>
      </w:r>
    </w:p>
    <w:p>
      <w:pPr>
        <w:spacing w:after="0" w:line="20"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Check the appropriate box if a member of a Group (see instructions)</w:t>
      </w:r>
    </w:p>
    <w:p>
      <w:pPr>
        <w:sectPr>
          <w:pgSz w:w="11900" w:h="16838" w:orient="portrait"/>
          <w:cols w:equalWidth="0" w:num="1">
            <w:col w:w="10099"/>
          </w:cols>
          <w:pgMar w:left="360" w:top="102" w:right="1440" w:bottom="0" w:gutter="0" w:footer="0" w:header="0"/>
        </w:sectPr>
      </w:pPr>
    </w:p>
    <w:p>
      <w:pPr>
        <w:spacing w:after="0" w:line="12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2</w:t>
      </w: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3</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Number of</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Shares</w:t>
      </w:r>
    </w:p>
    <w:p>
      <w:pPr>
        <w:spacing w:after="0"/>
        <w:rPr>
          <w:sz w:val="20"/>
          <w:szCs w:val="20"/>
          <w:color w:val="auto"/>
        </w:rPr>
      </w:pPr>
      <w:r>
        <w:rPr>
          <w:rFonts w:ascii="Times New Roman" w:cs="Times New Roman" w:eastAsia="Times New Roman" w:hAnsi="Times New Roman"/>
          <w:sz w:val="21"/>
          <w:szCs w:val="21"/>
          <w:color w:val="auto"/>
        </w:rPr>
        <w:t>Beneficially</w:t>
      </w:r>
    </w:p>
    <w:p>
      <w:pPr>
        <w:spacing w:after="0" w:line="231" w:lineRule="auto"/>
        <w:rPr>
          <w:sz w:val="20"/>
          <w:szCs w:val="20"/>
          <w:color w:val="auto"/>
        </w:rPr>
      </w:pPr>
      <w:r>
        <w:rPr>
          <w:rFonts w:ascii="Times New Roman" w:cs="Times New Roman" w:eastAsia="Times New Roman" w:hAnsi="Times New Roman"/>
          <w:sz w:val="22"/>
          <w:szCs w:val="22"/>
          <w:color w:val="auto"/>
        </w:rPr>
        <w:t>Owned by</w:t>
      </w:r>
    </w:p>
    <w:p>
      <w:pPr>
        <w:spacing w:after="0" w:line="231" w:lineRule="auto"/>
        <w:rPr>
          <w:sz w:val="20"/>
          <w:szCs w:val="20"/>
          <w:color w:val="auto"/>
        </w:rPr>
      </w:pPr>
      <w:r>
        <w:rPr>
          <w:rFonts w:ascii="Times New Roman" w:cs="Times New Roman" w:eastAsia="Times New Roman" w:hAnsi="Times New Roman"/>
          <w:sz w:val="22"/>
          <w:szCs w:val="22"/>
          <w:color w:val="auto"/>
        </w:rPr>
        <w:t>Each</w:t>
      </w:r>
    </w:p>
    <w:p>
      <w:pPr>
        <w:spacing w:after="0" w:line="231" w:lineRule="auto"/>
        <w:rPr>
          <w:sz w:val="20"/>
          <w:szCs w:val="20"/>
          <w:color w:val="auto"/>
        </w:rPr>
      </w:pPr>
      <w:r>
        <w:rPr>
          <w:rFonts w:ascii="Times New Roman" w:cs="Times New Roman" w:eastAsia="Times New Roman" w:hAnsi="Times New Roman"/>
          <w:sz w:val="22"/>
          <w:szCs w:val="22"/>
          <w:color w:val="auto"/>
        </w:rPr>
        <w:t>Reporting</w:t>
      </w:r>
    </w:p>
    <w:p>
      <w:pPr>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9</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10</w:t>
      </w: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w:t>
      </w:r>
    </w:p>
    <w:p>
      <w:pPr>
        <w:spacing w:after="0" w:line="20" w:lineRule="exact"/>
        <w:rPr>
          <w:sz w:val="20"/>
          <w:szCs w:val="20"/>
          <w:color w:val="auto"/>
        </w:rPr>
      </w:pPr>
      <w:r>
        <w:rPr>
          <w:sz w:val="20"/>
          <w:szCs w:val="20"/>
          <w:color w:val="auto"/>
        </w:rPr>
        <w:br w:type="column"/>
      </w:r>
    </w:p>
    <w:p>
      <w:pPr>
        <w:spacing w:after="0" w:line="227"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spacing w:after="0" w:line="17"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Sec Use Only</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DELAWARE</w:t>
      </w:r>
    </w:p>
    <w:p>
      <w:pPr>
        <w:spacing w:after="0" w:line="85"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5</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6</w:t>
      </w:r>
    </w:p>
    <w:p>
      <w:pPr>
        <w:ind w:left="280"/>
        <w:spacing w:after="0"/>
        <w:rPr>
          <w:sz w:val="20"/>
          <w:szCs w:val="20"/>
          <w:color w:val="auto"/>
        </w:rPr>
      </w:pPr>
      <w:r>
        <w:rPr>
          <w:rFonts w:ascii="Times New Roman" w:cs="Times New Roman" w:eastAsia="Times New Roman" w:hAnsi="Times New Roman"/>
          <w:sz w:val="22"/>
          <w:szCs w:val="22"/>
          <w:color w:val="auto"/>
        </w:rPr>
        <w:t>3,197,764.00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Dispositive</w:t>
      </w:r>
    </w:p>
    <w:p>
      <w:pPr>
        <w:ind w:left="40"/>
        <w:spacing w:after="0" w:line="191" w:lineRule="auto"/>
        <w:rPr>
          <w:sz w:val="20"/>
          <w:szCs w:val="20"/>
          <w:color w:val="auto"/>
        </w:rPr>
      </w:pPr>
      <w:r>
        <w:rPr>
          <w:rFonts w:ascii="Times New Roman" w:cs="Times New Roman" w:eastAsia="Times New Roman" w:hAnsi="Times New Roman"/>
          <w:sz w:val="43"/>
          <w:szCs w:val="43"/>
          <w:color w:val="auto"/>
          <w:vertAlign w:val="subscript"/>
        </w:rPr>
        <w:t>8</w:t>
      </w:r>
      <w:r>
        <w:rPr>
          <w:rFonts w:ascii="Times New Roman" w:cs="Times New Roman" w:eastAsia="Times New Roman" w:hAnsi="Times New Roman"/>
          <w:sz w:val="22"/>
          <w:szCs w:val="22"/>
          <w:color w:val="auto"/>
        </w:rPr>
        <w:t xml:space="preserve"> Power</w:t>
      </w:r>
    </w:p>
    <w:p>
      <w:pPr>
        <w:spacing w:after="0" w:line="83"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3,197,764.00</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3,197,764.00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box if the aggregate amount in row (9) excludes certain shares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27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28905" cy="128270"/>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5.1 %</w:t>
      </w:r>
    </w:p>
    <w:p>
      <w:pPr>
        <w:sectPr>
          <w:pgSz w:w="11900" w:h="16838" w:orient="portrait"/>
          <w:cols w:equalWidth="0" w:num="2">
            <w:col w:w="1060" w:space="60"/>
            <w:col w:w="8979"/>
          </w:cols>
          <w:pgMar w:left="360" w:top="102" w:right="1440" w:bottom="0" w:gutter="0" w:footer="0" w:header="0"/>
          <w:type w:val="continuous"/>
        </w:sectPr>
      </w:pPr>
    </w:p>
    <w:bookmarkStart w:id="2" w:name="page3"/>
    <w:bookmarkEnd w:id="2"/>
    <w:p>
      <w:pPr>
        <w:ind w:left="1120" w:hanging="1112"/>
        <w:spacing w:after="0"/>
        <w:tabs>
          <w:tab w:leader="none" w:pos="112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Type of Reporting Person (See Instructions)</w:t>
      </w:r>
    </w:p>
    <w:p>
      <w:pPr>
        <w:spacing w:after="0" w:line="233" w:lineRule="exact"/>
        <w:rPr>
          <w:rFonts w:ascii="Times New Roman" w:cs="Times New Roman" w:eastAsia="Times New Roman" w:hAnsi="Times New Roman"/>
          <w:sz w:val="22"/>
          <w:szCs w:val="22"/>
          <w:color w:val="auto"/>
        </w:rPr>
      </w:pPr>
    </w:p>
    <w:p>
      <w:pPr>
        <w:ind w:left="1120"/>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CO</w:t>
      </w:r>
    </w:p>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CUSIP No.</w:t>
      </w:r>
    </w:p>
    <w:p>
      <w:pPr>
        <w:spacing w:after="0" w:line="200" w:lineRule="exact"/>
        <w:rPr>
          <w:sz w:val="20"/>
          <w:szCs w:val="20"/>
          <w:color w:val="auto"/>
        </w:rPr>
      </w:pPr>
    </w:p>
    <w:p>
      <w:pPr>
        <w:spacing w:after="0" w:line="361"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Steven A. Cohen</w:t>
      </w:r>
    </w:p>
    <w:p>
      <w:pPr>
        <w:spacing w:after="0" w:line="20"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1"/>
          <w:szCs w:val="21"/>
          <w:color w:val="auto"/>
        </w:rPr>
        <w:t>Check the appropriate box if a member of a Group (see instructions)</w:t>
      </w:r>
    </w:p>
    <w:p>
      <w:pPr>
        <w:sectPr>
          <w:pgSz w:w="11900" w:h="16838" w:orient="portrait"/>
          <w:cols w:equalWidth="0" w:num="1">
            <w:col w:w="10099"/>
          </w:cols>
          <w:pgMar w:left="360" w:top="111" w:right="1440" w:bottom="46" w:gutter="0" w:footer="0" w:header="0"/>
        </w:sectPr>
      </w:pPr>
    </w:p>
    <w:p>
      <w:pPr>
        <w:spacing w:after="0" w:line="13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2</w:t>
      </w: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3</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Number of</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Shares</w:t>
      </w:r>
    </w:p>
    <w:p>
      <w:pPr>
        <w:spacing w:after="0"/>
        <w:rPr>
          <w:sz w:val="20"/>
          <w:szCs w:val="20"/>
          <w:color w:val="auto"/>
        </w:rPr>
      </w:pPr>
      <w:r>
        <w:rPr>
          <w:rFonts w:ascii="Times New Roman" w:cs="Times New Roman" w:eastAsia="Times New Roman" w:hAnsi="Times New Roman"/>
          <w:sz w:val="21"/>
          <w:szCs w:val="21"/>
          <w:color w:val="auto"/>
        </w:rPr>
        <w:t>Beneficially</w:t>
      </w:r>
    </w:p>
    <w:p>
      <w:pPr>
        <w:spacing w:after="0" w:line="231" w:lineRule="auto"/>
        <w:rPr>
          <w:sz w:val="20"/>
          <w:szCs w:val="20"/>
          <w:color w:val="auto"/>
        </w:rPr>
      </w:pPr>
      <w:r>
        <w:rPr>
          <w:rFonts w:ascii="Times New Roman" w:cs="Times New Roman" w:eastAsia="Times New Roman" w:hAnsi="Times New Roman"/>
          <w:sz w:val="22"/>
          <w:szCs w:val="22"/>
          <w:color w:val="auto"/>
        </w:rPr>
        <w:t>Owned by</w:t>
      </w:r>
    </w:p>
    <w:p>
      <w:pPr>
        <w:spacing w:after="0" w:line="231" w:lineRule="auto"/>
        <w:rPr>
          <w:sz w:val="20"/>
          <w:szCs w:val="20"/>
          <w:color w:val="auto"/>
        </w:rPr>
      </w:pPr>
      <w:r>
        <w:rPr>
          <w:rFonts w:ascii="Times New Roman" w:cs="Times New Roman" w:eastAsia="Times New Roman" w:hAnsi="Times New Roman"/>
          <w:sz w:val="22"/>
          <w:szCs w:val="22"/>
          <w:color w:val="auto"/>
        </w:rPr>
        <w:t>Each</w:t>
      </w:r>
    </w:p>
    <w:p>
      <w:pPr>
        <w:spacing w:after="0" w:line="231" w:lineRule="auto"/>
        <w:rPr>
          <w:sz w:val="20"/>
          <w:szCs w:val="20"/>
          <w:color w:val="auto"/>
        </w:rPr>
      </w:pPr>
      <w:r>
        <w:rPr>
          <w:rFonts w:ascii="Times New Roman" w:cs="Times New Roman" w:eastAsia="Times New Roman" w:hAnsi="Times New Roman"/>
          <w:sz w:val="22"/>
          <w:szCs w:val="22"/>
          <w:color w:val="auto"/>
        </w:rPr>
        <w:t>Reporting</w:t>
      </w:r>
    </w:p>
    <w:p>
      <w:pPr>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9</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10</w:t>
      </w: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w:t>
      </w:r>
    </w:p>
    <w:p>
      <w:pPr>
        <w:spacing w:after="0" w:line="20" w:lineRule="exact"/>
        <w:rPr>
          <w:sz w:val="20"/>
          <w:szCs w:val="20"/>
          <w:color w:val="auto"/>
        </w:rPr>
      </w:pPr>
      <w:r>
        <w:rPr>
          <w:sz w:val="20"/>
          <w:szCs w:val="20"/>
          <w:color w:val="auto"/>
        </w:rPr>
        <w:br w:type="column"/>
      </w:r>
    </w:p>
    <w:p>
      <w:pPr>
        <w:spacing w:after="0" w:line="238"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spacing w:after="0" w:line="17"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Sec Use Only</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UNITED STATES</w:t>
      </w:r>
    </w:p>
    <w:p>
      <w:pPr>
        <w:spacing w:after="0" w:line="85"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5</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6</w:t>
      </w:r>
    </w:p>
    <w:p>
      <w:pPr>
        <w:ind w:left="280"/>
        <w:spacing w:after="0"/>
        <w:rPr>
          <w:sz w:val="20"/>
          <w:szCs w:val="20"/>
          <w:color w:val="auto"/>
        </w:rPr>
      </w:pPr>
      <w:r>
        <w:rPr>
          <w:rFonts w:ascii="Times New Roman" w:cs="Times New Roman" w:eastAsia="Times New Roman" w:hAnsi="Times New Roman"/>
          <w:sz w:val="22"/>
          <w:szCs w:val="22"/>
          <w:color w:val="auto"/>
        </w:rPr>
        <w:t>3,197,764.00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Dispositive</w:t>
      </w:r>
    </w:p>
    <w:p>
      <w:pPr>
        <w:ind w:left="40"/>
        <w:spacing w:after="0" w:line="191" w:lineRule="auto"/>
        <w:rPr>
          <w:sz w:val="20"/>
          <w:szCs w:val="20"/>
          <w:color w:val="auto"/>
        </w:rPr>
      </w:pPr>
      <w:r>
        <w:rPr>
          <w:rFonts w:ascii="Times New Roman" w:cs="Times New Roman" w:eastAsia="Times New Roman" w:hAnsi="Times New Roman"/>
          <w:sz w:val="43"/>
          <w:szCs w:val="43"/>
          <w:color w:val="auto"/>
          <w:vertAlign w:val="subscript"/>
        </w:rPr>
        <w:t>8</w:t>
      </w:r>
      <w:r>
        <w:rPr>
          <w:rFonts w:ascii="Times New Roman" w:cs="Times New Roman" w:eastAsia="Times New Roman" w:hAnsi="Times New Roman"/>
          <w:sz w:val="22"/>
          <w:szCs w:val="22"/>
          <w:color w:val="auto"/>
        </w:rPr>
        <w:t xml:space="preserve"> Power</w:t>
      </w:r>
    </w:p>
    <w:p>
      <w:pPr>
        <w:spacing w:after="0" w:line="83"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3,197,764.00</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3,197,764.00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box if the aggregate amount in row (9) excludes certain shares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90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5.1 %</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IN</w:t>
      </w:r>
    </w:p>
    <w:p>
      <w:pPr>
        <w:spacing w:after="0" w:line="200" w:lineRule="exact"/>
        <w:rPr>
          <w:sz w:val="20"/>
          <w:szCs w:val="20"/>
          <w:color w:val="auto"/>
        </w:rPr>
      </w:pPr>
    </w:p>
    <w:p>
      <w:pPr>
        <w:sectPr>
          <w:pgSz w:w="11900" w:h="16838" w:orient="portrait"/>
          <w:cols w:equalWidth="0" w:num="2">
            <w:col w:w="1060" w:space="60"/>
            <w:col w:w="8979"/>
          </w:cols>
          <w:pgMar w:left="360" w:top="111" w:right="1440" w:bottom="46" w:gutter="0" w:footer="0" w:header="0"/>
          <w:type w:val="continuous"/>
        </w:sectPr>
      </w:pPr>
    </w:p>
    <w:p>
      <w:pPr>
        <w:spacing w:after="0" w:line="200" w:lineRule="exact"/>
        <w:rPr>
          <w:sz w:val="20"/>
          <w:szCs w:val="20"/>
          <w:color w:val="auto"/>
        </w:rPr>
      </w:pPr>
    </w:p>
    <w:p>
      <w:pPr>
        <w:spacing w:after="0" w:line="36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1.</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Name of issuer:</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ind w:left="920"/>
        <w:spacing w:after="0"/>
        <w:rPr>
          <w:sz w:val="20"/>
          <w:szCs w:val="20"/>
          <w:color w:val="auto"/>
        </w:rPr>
      </w:pPr>
      <w:r>
        <w:rPr>
          <w:rFonts w:ascii="Times New Roman" w:cs="Times New Roman" w:eastAsia="Times New Roman" w:hAnsi="Times New Roman"/>
          <w:sz w:val="22"/>
          <w:szCs w:val="22"/>
          <w:color w:val="auto"/>
        </w:rPr>
        <w:t>Design Therapeutics, Inc.</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Address of issuer's principal executive offices: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jc w:val="right"/>
        <w:ind w:right="4139"/>
        <w:spacing w:after="0"/>
        <w:rPr>
          <w:sz w:val="20"/>
          <w:szCs w:val="20"/>
          <w:color w:val="auto"/>
        </w:rPr>
      </w:pPr>
      <w:r>
        <w:rPr>
          <w:rFonts w:ascii="Times New Roman" w:cs="Times New Roman" w:eastAsia="Times New Roman" w:hAnsi="Times New Roman"/>
          <w:sz w:val="22"/>
          <w:szCs w:val="22"/>
          <w:color w:val="auto"/>
        </w:rPr>
        <w:t>6005 Hidden Valley Road, Suite 110, Carlsbad, CA 92011</w:t>
      </w:r>
    </w:p>
    <w:p>
      <w:pPr>
        <w:spacing w:after="0" w:line="2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2.</w:t>
      </w:r>
    </w:p>
    <w:p>
      <w:pPr>
        <w:spacing w:after="0" w:line="44" w:lineRule="exact"/>
        <w:rPr>
          <w:sz w:val="20"/>
          <w:szCs w:val="20"/>
          <w:color w:val="auto"/>
        </w:rPr>
      </w:pPr>
    </w:p>
    <w:p>
      <w:pPr>
        <w:ind w:left="920" w:hanging="912"/>
        <w:spacing w:after="0"/>
        <w:tabs>
          <w:tab w:leader="none" w:pos="92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Name of person filing:</w:t>
      </w:r>
    </w:p>
    <w:p>
      <w:pPr>
        <w:sectPr>
          <w:pgSz w:w="11900" w:h="16838" w:orient="portrait"/>
          <w:cols w:equalWidth="0" w:num="1">
            <w:col w:w="10099"/>
          </w:cols>
          <w:pgMar w:left="360" w:top="111" w:right="1440" w:bottom="46" w:gutter="0" w:footer="0" w:header="0"/>
          <w:type w:val="continuous"/>
        </w:sectPr>
      </w:pPr>
    </w:p>
    <w:bookmarkStart w:id="3" w:name="page4"/>
    <w:bookmarkEnd w:id="3"/>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spacing w:after="0" w:line="200" w:lineRule="exact"/>
        <w:rPr>
          <w:sz w:val="20"/>
          <w:szCs w:val="20"/>
          <w:color w:val="auto"/>
        </w:rPr>
      </w:pPr>
    </w:p>
    <w:p>
      <w:pPr>
        <w:spacing w:after="0" w:line="200" w:lineRule="exact"/>
        <w:rPr>
          <w:sz w:val="20"/>
          <w:szCs w:val="20"/>
          <w:color w:val="auto"/>
        </w:rPr>
      </w:pPr>
    </w:p>
    <w:p>
      <w:pPr>
        <w:spacing w:after="0" w:line="37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w:t>
      </w: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w:t>
      </w:r>
    </w:p>
    <w:p>
      <w:pPr>
        <w:spacing w:after="0" w:line="200" w:lineRule="exact"/>
        <w:rPr>
          <w:sz w:val="20"/>
          <w:szCs w:val="20"/>
          <w:color w:val="auto"/>
        </w:rPr>
      </w:pPr>
    </w:p>
    <w:p>
      <w:pPr>
        <w:spacing w:after="0" w:line="20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(e)</w:t>
      </w:r>
    </w:p>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3.</w:t>
      </w:r>
    </w:p>
    <w:p>
      <w:pPr>
        <w:spacing w:after="0" w:line="5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(e)</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(f)</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(g)</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(h)</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w:t>
      </w: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(j)</w:t>
      </w:r>
    </w:p>
    <w:p>
      <w:pPr>
        <w:spacing w:after="0" w:line="30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(k)</w:t>
      </w:r>
    </w:p>
    <w:p>
      <w:pPr>
        <w:spacing w:after="0" w:line="355"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4.</w:t>
      </w:r>
    </w:p>
    <w:p>
      <w:pPr>
        <w:spacing w:after="0" w:line="20" w:lineRule="exact"/>
        <w:rPr>
          <w:sz w:val="20"/>
          <w:szCs w:val="20"/>
          <w:color w:val="auto"/>
        </w:rPr>
      </w:pPr>
      <w:r>
        <w:rPr>
          <w:sz w:val="20"/>
          <w:szCs w:val="20"/>
          <w:color w:val="auto"/>
        </w:rPr>
        <w:br w:type="column"/>
      </w:r>
    </w:p>
    <w:p>
      <w:pPr>
        <w:spacing w:after="0" w:line="233" w:lineRule="auto"/>
        <w:rPr>
          <w:sz w:val="20"/>
          <w:szCs w:val="20"/>
          <w:color w:val="auto"/>
        </w:rPr>
      </w:pPr>
      <w:r>
        <w:rPr>
          <w:rFonts w:ascii="Times New Roman" w:cs="Times New Roman" w:eastAsia="Times New Roman" w:hAnsi="Times New Roman"/>
          <w:sz w:val="22"/>
          <w:szCs w:val="22"/>
          <w:color w:val="auto"/>
        </w:rPr>
        <w:t>This statement is filed by: (i) Point72 Asset Management, L.P. ("Point72 Asset Management") with respect to the shares of common stock, par value $0.0001 per share ("Shares"), of Design Therapeutics, Inc. held by Point72 Associates, LLC, an investment fund it manages ("Point72 Associates"); (ii) Point72 Capital Advisors, Inc. ("Point72 Capital Advisors Inc.") with respect to the Shares held by Point72 Associates; and (iii) Steven A. Cohen ("Mr. Cohen") with respect to the Shares beneficially owned by Point72 Asset Management and Point72 Capital Advisors Inc. Each of Cubist Systematic Strategies, LLC, Point72 (DIFC) Limited and Point72 Asia (Singapore) Pte. Ltd. are relying advisers on the Form ADV of Point72 Asset Management and each acts as a sub-advisor with respect to a portion of the Shares reported herein. Point72 Asset Management, Point72 Capital Advisors Inc., and Mr. Cohen have entered into a Joint Filing Agreement, a copy of which is filed with this Schedule 13G as Exhibit 99.1, pursuant to which they have agreed to file this Schedule 13G jointly in accordance with the provisions of Rule 13d-1(k) of the Securities Exchange Act of 1934 (the "Act").</w:t>
      </w:r>
    </w:p>
    <w:p>
      <w:pPr>
        <w:spacing w:after="0" w:line="2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Address or principal business office or, if none, residence:</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The address of the principal business office of Point72 Asset Management, Point72 Capital Advisors Inc., and Mr.</w:t>
      </w:r>
    </w:p>
    <w:p>
      <w:pPr>
        <w:spacing w:after="0" w:line="1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Cohen is 72 Cummings Point Road, Stamford, CT 06902.</w:t>
      </w:r>
    </w:p>
    <w:p>
      <w:pPr>
        <w:spacing w:after="0" w:line="2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Citizenship:</w:t>
      </w:r>
    </w:p>
    <w:p>
      <w:pPr>
        <w:spacing w:after="0" w:line="233" w:lineRule="exact"/>
        <w:rPr>
          <w:sz w:val="20"/>
          <w:szCs w:val="20"/>
          <w:color w:val="auto"/>
        </w:rPr>
      </w:pPr>
    </w:p>
    <w:p>
      <w:pPr>
        <w:ind w:right="1000"/>
        <w:spacing w:after="0" w:line="256" w:lineRule="auto"/>
        <w:rPr>
          <w:sz w:val="20"/>
          <w:szCs w:val="20"/>
          <w:color w:val="auto"/>
        </w:rPr>
      </w:pPr>
      <w:r>
        <w:rPr>
          <w:rFonts w:ascii="Times New Roman" w:cs="Times New Roman" w:eastAsia="Times New Roman" w:hAnsi="Times New Roman"/>
          <w:sz w:val="22"/>
          <w:szCs w:val="22"/>
          <w:color w:val="auto"/>
        </w:rPr>
        <w:t>Point72 Asset Management is a Delaware limited partnership. Point72 Capital Advisors Inc. is a Delaware corporation. Mr. Cohen is a United States citizen.</w:t>
      </w:r>
    </w:p>
    <w:p>
      <w:pPr>
        <w:spacing w:after="0"/>
        <w:rPr>
          <w:sz w:val="20"/>
          <w:szCs w:val="20"/>
          <w:color w:val="auto"/>
        </w:rPr>
      </w:pPr>
      <w:r>
        <w:rPr>
          <w:rFonts w:ascii="Times New Roman" w:cs="Times New Roman" w:eastAsia="Times New Roman" w:hAnsi="Times New Roman"/>
          <w:sz w:val="22"/>
          <w:szCs w:val="22"/>
          <w:color w:val="auto"/>
        </w:rPr>
        <w:t>Title of class of securities: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Common Stock, par value $0.0001 per share</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CUSIP No.:</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If this statement is filed pursuant to §§ 240.13d-1(b) or 240.13d-2(b) or (c), check whether the person filing is a:</w:t>
      </w:r>
    </w:p>
    <w:p>
      <w:pPr>
        <w:spacing w:after="0" w:line="58"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22"/>
          <w:szCs w:val="22"/>
          <w:color w:val="auto"/>
        </w:rPr>
        <w:t>Broker or dealer registered under section 15 of the Act (15 U.S.C. 78o);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22"/>
          <w:szCs w:val="22"/>
          <w:color w:val="auto"/>
        </w:rPr>
        <w:t>Bank as defined in section 3(a)(6) of the Act (15 U.S.C. 78c);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22"/>
          <w:szCs w:val="22"/>
          <w:color w:val="auto"/>
        </w:rPr>
        <w:t>Insurance company as defined in section 3(a)(19) of the Act (15 U.S.C. 78c);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22"/>
          <w:szCs w:val="22"/>
          <w:color w:val="auto"/>
        </w:rPr>
        <w:t>Investment company registered under section 8 of the Investment Company Act of 1940 (15 U.S.C. 80a-8);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2"/>
          <w:szCs w:val="22"/>
          <w:color w:val="auto"/>
        </w:rPr>
        <w:t>An investment adviser in accordance with § 240.13d-1(b)(1)(ii)(E);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27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128905" cy="128270"/>
                    </a:xfrm>
                    <a:prstGeom prst="rect">
                      <a:avLst/>
                    </a:prstGeom>
                    <a:noFill/>
                  </pic:spPr>
                </pic:pic>
              </a:graphicData>
            </a:graphic>
          </wp:anchor>
        </w:drawing>
      </w:r>
    </w:p>
    <w:p>
      <w:pPr>
        <w:spacing w:after="0" w:line="38"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2"/>
          <w:szCs w:val="22"/>
          <w:color w:val="auto"/>
        </w:rPr>
        <w:t>An employee benefit plan or endowment fund in accordance with § 240.13d-1(b)(1)(ii)(F);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2"/>
          <w:szCs w:val="22"/>
          <w:color w:val="auto"/>
        </w:rPr>
        <w:t>A parent holding company or control person in accordance with § 240.13d-1(b)(1)(ii)(G);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2"/>
          <w:szCs w:val="22"/>
          <w:color w:val="auto"/>
        </w:rPr>
        <w:t>A savings associations as defined in Section 3(b) of the Federal Deposit Insurance Act (12 U.S.C. 1813);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0"/>
          <w:szCs w:val="20"/>
          <w:color w:val="auto"/>
        </w:rPr>
      </w:pPr>
    </w:p>
    <w:p>
      <w:pPr>
        <w:ind w:right="680"/>
        <w:spacing w:after="0" w:line="258" w:lineRule="auto"/>
        <w:rPr>
          <w:sz w:val="20"/>
          <w:szCs w:val="20"/>
          <w:color w:val="auto"/>
        </w:rPr>
      </w:pPr>
      <w:r>
        <w:rPr>
          <w:sz w:val="1"/>
          <w:szCs w:val="1"/>
          <w:color w:val="auto"/>
        </w:rPr>
        <w:drawing>
          <wp:inline distT="0" distB="0" distL="0" distR="0">
            <wp:extent cx="128905" cy="128905"/>
            <wp:effectExtent l="0" t="0" r="0" b="0"/>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church plan that is excluded from the definition of an investment company under section 3(c)(14) of the Investment Company Act of 1940 (15 U.S.C. 80a-3);</w:t>
      </w:r>
    </w:p>
    <w:p>
      <w:pPr>
        <w:spacing w:after="0" w:line="10" w:lineRule="exact"/>
        <w:rPr>
          <w:sz w:val="20"/>
          <w:szCs w:val="20"/>
          <w:color w:val="auto"/>
        </w:rPr>
      </w:pPr>
    </w:p>
    <w:p>
      <w:pPr>
        <w:ind w:right="1020"/>
        <w:spacing w:after="0" w:line="241" w:lineRule="auto"/>
        <w:rPr>
          <w:sz w:val="20"/>
          <w:szCs w:val="20"/>
          <w:color w:val="auto"/>
        </w:rPr>
      </w:pPr>
      <w:r>
        <w:rPr>
          <w:sz w:val="1"/>
          <w:szCs w:val="1"/>
          <w:color w:val="auto"/>
        </w:rPr>
        <w:drawing>
          <wp:inline distT="0" distB="0" distL="0" distR="0">
            <wp:extent cx="128905" cy="128905"/>
            <wp:effectExtent l="0" t="0" r="0" b="0"/>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non-U.S. institution in accordance with § 240.13d-1(b)(1)(ii)(J). If filing as a non-U.S. institution in accordance with § 240.13d-1(b)(1)(ii)(J),</w:t>
      </w:r>
    </w:p>
    <w:p>
      <w:pPr>
        <w:spacing w:after="0" w:line="2"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22"/>
          <w:szCs w:val="22"/>
          <w:color w:val="auto"/>
        </w:rPr>
        <w:t>please specify the type of institution:</w:t>
      </w:r>
    </w:p>
    <w:p>
      <w:pPr>
        <w:spacing w:after="0" w:line="34"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22"/>
          <w:szCs w:val="22"/>
          <w:color w:val="auto"/>
        </w:rPr>
        <w:t>Group, in accordance with Rule 240.13d-1(b)(1)(ii)(K).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2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Ownership</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Amount beneficially owned:</w:t>
      </w:r>
    </w:p>
    <w:p>
      <w:pPr>
        <w:spacing w:after="0" w:line="200" w:lineRule="exact"/>
        <w:rPr>
          <w:sz w:val="20"/>
          <w:szCs w:val="20"/>
          <w:color w:val="auto"/>
        </w:rPr>
      </w:pPr>
    </w:p>
    <w:p>
      <w:pPr>
        <w:sectPr>
          <w:pgSz w:w="11900" w:h="16838" w:orient="portrait"/>
          <w:cols w:equalWidth="0" w:num="2">
            <w:col w:w="620" w:space="300"/>
            <w:col w:w="10220"/>
          </w:cols>
          <w:pgMar w:left="360" w:top="112" w:right="399" w:bottom="0" w:gutter="0" w:footer="0" w:header="0"/>
        </w:sectPr>
      </w:pPr>
    </w:p>
    <w:p>
      <w:pPr>
        <w:spacing w:after="0" w:line="33" w:lineRule="exact"/>
        <w:rPr>
          <w:sz w:val="20"/>
          <w:szCs w:val="20"/>
          <w:color w:val="auto"/>
        </w:rPr>
      </w:pPr>
    </w:p>
    <w:p>
      <w:pPr>
        <w:ind w:left="920" w:right="40"/>
        <w:spacing w:after="0" w:line="241" w:lineRule="auto"/>
        <w:rPr>
          <w:sz w:val="20"/>
          <w:szCs w:val="20"/>
          <w:color w:val="auto"/>
        </w:rPr>
      </w:pPr>
      <w:r>
        <w:rPr>
          <w:rFonts w:ascii="Times New Roman" w:cs="Times New Roman" w:eastAsia="Times New Roman" w:hAnsi="Times New Roman"/>
          <w:sz w:val="22"/>
          <w:szCs w:val="22"/>
          <w:color w:val="auto"/>
        </w:rPr>
        <w:t>The information required by Item 4(a) is set forth in Row 9 of the cover page for each of the Reporting Persons and is incorporated herein by reference. Such information is as of the close of business on June 8, 2026. Point72 Asset</w:t>
      </w:r>
    </w:p>
    <w:p>
      <w:pPr>
        <w:spacing w:after="0" w:line="2" w:lineRule="exact"/>
        <w:rPr>
          <w:sz w:val="20"/>
          <w:szCs w:val="20"/>
          <w:color w:val="auto"/>
        </w:rPr>
      </w:pPr>
    </w:p>
    <w:p>
      <w:pPr>
        <w:ind w:left="920" w:right="40" w:hanging="912"/>
        <w:spacing w:after="0" w:line="201" w:lineRule="auto"/>
        <w:tabs>
          <w:tab w:leader="none" w:pos="920" w:val="left"/>
        </w:tabs>
        <w:numPr>
          <w:ilvl w:val="0"/>
          <w:numId w:val="5"/>
        </w:numPr>
        <w:rPr>
          <w:rFonts w:ascii="Times New Roman" w:cs="Times New Roman" w:eastAsia="Times New Roman" w:hAnsi="Times New Roman"/>
          <w:sz w:val="43"/>
          <w:szCs w:val="43"/>
          <w:color w:val="auto"/>
          <w:vertAlign w:val="subscript"/>
        </w:rPr>
      </w:pPr>
      <w:r>
        <w:rPr>
          <w:rFonts w:ascii="Times New Roman" w:cs="Times New Roman" w:eastAsia="Times New Roman" w:hAnsi="Times New Roman"/>
          <w:sz w:val="22"/>
          <w:szCs w:val="22"/>
          <w:color w:val="auto"/>
        </w:rPr>
        <w:t>Management, Point72 Capital Advisors Inc., and Mr. Cohen own directly no Shares. Pursuant to an investment management agreement, Point72 Asset Management maintains investment and voting power with respect to the securities held by Point72 Associates. Point72 Capital Advisors Inc. is the general partner of Point72 Asset Management. Mr. Cohen controls each of Point72 Asset Management and Point72 Capital Advisors Inc. The filing of this statement should not be construed as an admission that any of the foregoing persons or any Reporting Person is, for the purposes of Section 13 of the Act, the beneficial owner of the Shares reported herein.</w:t>
      </w:r>
    </w:p>
    <w:p>
      <w:pPr>
        <w:spacing w:after="0" w:line="15"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Percent of class: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ind w:left="920"/>
        <w:spacing w:after="0"/>
        <w:rPr>
          <w:sz w:val="20"/>
          <w:szCs w:val="20"/>
          <w:color w:val="auto"/>
        </w:rPr>
      </w:pPr>
      <w:r>
        <w:rPr>
          <w:rFonts w:ascii="Times New Roman" w:cs="Times New Roman" w:eastAsia="Times New Roman" w:hAnsi="Times New Roman"/>
          <w:sz w:val="22"/>
          <w:szCs w:val="22"/>
          <w:color w:val="auto"/>
        </w:rPr>
        <w:t>5.1% %</w:t>
      </w:r>
    </w:p>
    <w:p>
      <w:pPr>
        <w:spacing w:after="0" w:line="20" w:lineRule="exact"/>
        <w:rPr>
          <w:sz w:val="20"/>
          <w:szCs w:val="20"/>
          <w:color w:val="auto"/>
        </w:rPr>
      </w:pPr>
    </w:p>
    <w:p>
      <w:pPr>
        <w:ind w:left="920" w:hanging="912"/>
        <w:spacing w:after="0"/>
        <w:tabs>
          <w:tab w:leader="none" w:pos="920"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Number of shares as to which the person has:</w:t>
      </w:r>
    </w:p>
    <w:p>
      <w:pPr>
        <w:spacing w:after="0" w:line="44" w:lineRule="exact"/>
        <w:rPr>
          <w:rFonts w:ascii="Times New Roman" w:cs="Times New Roman" w:eastAsia="Times New Roman" w:hAnsi="Times New Roman"/>
          <w:sz w:val="22"/>
          <w:szCs w:val="22"/>
          <w:color w:val="auto"/>
        </w:rPr>
      </w:pPr>
    </w:p>
    <w:p>
      <w:pPr>
        <w:ind w:left="920"/>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 Sole power to vote or to direct the vote:</w:t>
      </w:r>
    </w:p>
    <w:p>
      <w:pPr>
        <w:spacing w:after="0" w:line="233" w:lineRule="exact"/>
        <w:rPr>
          <w:sz w:val="20"/>
          <w:szCs w:val="20"/>
          <w:color w:val="auto"/>
        </w:rPr>
      </w:pPr>
    </w:p>
    <w:p>
      <w:pPr>
        <w:ind w:left="920" w:right="20"/>
        <w:spacing w:after="0" w:line="258" w:lineRule="auto"/>
        <w:rPr>
          <w:sz w:val="20"/>
          <w:szCs w:val="20"/>
          <w:color w:val="auto"/>
        </w:rPr>
      </w:pPr>
      <w:r>
        <w:rPr>
          <w:rFonts w:ascii="Times New Roman" w:cs="Times New Roman" w:eastAsia="Times New Roman" w:hAnsi="Times New Roman"/>
          <w:sz w:val="22"/>
          <w:szCs w:val="22"/>
          <w:color w:val="auto"/>
        </w:rPr>
        <w:t>The information required by Item 4(c)(i) is set forth in Row 5 of the cover page for each of the Reporting Persons and is incorporated herein by reference. Such information is as of the close of business on June 8, 2026.</w:t>
      </w:r>
    </w:p>
    <w:p>
      <w:pPr>
        <w:spacing w:after="0" w:line="239"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(ii) Shared power to vote or to direct the vote:</w:t>
      </w:r>
    </w:p>
    <w:p>
      <w:pPr>
        <w:sectPr>
          <w:pgSz w:w="11900" w:h="16838" w:orient="portrait"/>
          <w:cols w:equalWidth="0" w:num="1">
            <w:col w:w="11140"/>
          </w:cols>
          <w:pgMar w:left="360" w:top="112" w:right="399" w:bottom="0" w:gutter="0" w:footer="0" w:header="0"/>
          <w:type w:val="continuous"/>
        </w:sectPr>
      </w:pPr>
    </w:p>
    <w:bookmarkStart w:id="4" w:name="page5"/>
    <w:bookmarkEnd w:id="4"/>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5.</w:t>
      </w:r>
    </w:p>
    <w:p>
      <w:pPr>
        <w:spacing w:after="0" w:line="34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7.</w:t>
      </w:r>
    </w:p>
    <w:p>
      <w:pPr>
        <w:spacing w:after="0" w:line="200" w:lineRule="exact"/>
        <w:rPr>
          <w:sz w:val="20"/>
          <w:szCs w:val="20"/>
          <w:color w:val="auto"/>
        </w:rPr>
      </w:pPr>
    </w:p>
    <w:p>
      <w:pPr>
        <w:spacing w:after="0" w:line="26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8.</w:t>
      </w:r>
    </w:p>
    <w:p>
      <w:pPr>
        <w:spacing w:after="0" w:line="34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9.</w:t>
      </w: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10.</w:t>
      </w:r>
    </w:p>
    <w:p>
      <w:pPr>
        <w:spacing w:after="0" w:line="20" w:lineRule="exact"/>
        <w:rPr>
          <w:sz w:val="20"/>
          <w:szCs w:val="20"/>
          <w:color w:val="auto"/>
        </w:rPr>
      </w:pPr>
      <w:r>
        <w:rPr>
          <w:sz w:val="20"/>
          <w:szCs w:val="20"/>
          <w:color w:val="auto"/>
        </w:rPr>
        <w:br w:type="column"/>
      </w:r>
    </w:p>
    <w:p>
      <w:pPr>
        <w:ind w:right="340"/>
        <w:spacing w:after="0" w:line="259" w:lineRule="auto"/>
        <w:rPr>
          <w:sz w:val="20"/>
          <w:szCs w:val="20"/>
          <w:color w:val="auto"/>
        </w:rPr>
      </w:pPr>
      <w:r>
        <w:rPr>
          <w:rFonts w:ascii="Times New Roman" w:cs="Times New Roman" w:eastAsia="Times New Roman" w:hAnsi="Times New Roman"/>
          <w:sz w:val="22"/>
          <w:szCs w:val="22"/>
          <w:color w:val="auto"/>
        </w:rPr>
        <w:t>The information required by Item 4(c)(ii) is set forth in Row 6 of the cover page for each of the Reporting Persons and is incorporated herein by reference. Such information is as of the close of business on June 8, 2026.</w:t>
      </w:r>
    </w:p>
    <w:p>
      <w:pPr>
        <w:spacing w:after="0" w:line="23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(iii) Sole power to dispose or to direct the disposition of:</w:t>
      </w:r>
    </w:p>
    <w:p>
      <w:pPr>
        <w:spacing w:after="0" w:line="233" w:lineRule="exact"/>
        <w:rPr>
          <w:sz w:val="20"/>
          <w:szCs w:val="20"/>
          <w:color w:val="auto"/>
        </w:rPr>
      </w:pPr>
    </w:p>
    <w:p>
      <w:pPr>
        <w:ind w:right="280"/>
        <w:spacing w:after="0" w:line="258" w:lineRule="auto"/>
        <w:rPr>
          <w:sz w:val="20"/>
          <w:szCs w:val="20"/>
          <w:color w:val="auto"/>
        </w:rPr>
      </w:pPr>
      <w:r>
        <w:rPr>
          <w:rFonts w:ascii="Times New Roman" w:cs="Times New Roman" w:eastAsia="Times New Roman" w:hAnsi="Times New Roman"/>
          <w:sz w:val="22"/>
          <w:szCs w:val="22"/>
          <w:color w:val="auto"/>
        </w:rPr>
        <w:t>The information required by Item 4(c)(iii) is set forth in Row 7 of the cover page for each of the Reporting Persons and is incorporated herein by reference. Such information is as of the close of business on June 8, 2026.</w:t>
      </w:r>
    </w:p>
    <w:p>
      <w:pPr>
        <w:spacing w:after="0" w:line="23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(iv) Shared power to dispose or to direct the disposition of:</w:t>
      </w:r>
    </w:p>
    <w:p>
      <w:pPr>
        <w:spacing w:after="0" w:line="233" w:lineRule="exact"/>
        <w:rPr>
          <w:sz w:val="20"/>
          <w:szCs w:val="20"/>
          <w:color w:val="auto"/>
        </w:rPr>
      </w:pPr>
    </w:p>
    <w:p>
      <w:pPr>
        <w:ind w:right="280"/>
        <w:spacing w:after="0" w:line="258" w:lineRule="auto"/>
        <w:rPr>
          <w:sz w:val="20"/>
          <w:szCs w:val="20"/>
          <w:color w:val="auto"/>
        </w:rPr>
      </w:pPr>
      <w:r>
        <w:rPr>
          <w:rFonts w:ascii="Times New Roman" w:cs="Times New Roman" w:eastAsia="Times New Roman" w:hAnsi="Times New Roman"/>
          <w:sz w:val="22"/>
          <w:szCs w:val="22"/>
          <w:color w:val="auto"/>
        </w:rPr>
        <w:t>The information required by Item 4(c)(iv) is set forth in Row 8 of the cover page for each of the Reporting Persons and is incorporated herein by reference. Such information is as of the close of business on June 8, 2026.</w:t>
      </w:r>
    </w:p>
    <w:p>
      <w:pPr>
        <w:spacing w:after="0" w:line="23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Ownership of 5 Percent or Less of a Class.</w:t>
      </w:r>
    </w:p>
    <w:p>
      <w:pPr>
        <w:spacing w:after="0" w:line="34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Ownership of more than 5 Percent on Behalf of Another Person.</w:t>
      </w:r>
    </w:p>
    <w:p>
      <w:pPr>
        <w:spacing w:after="0" w:line="44" w:lineRule="exact"/>
        <w:rPr>
          <w:sz w:val="20"/>
          <w:szCs w:val="20"/>
          <w:color w:val="auto"/>
        </w:rPr>
      </w:pPr>
    </w:p>
    <w:p>
      <w:pPr>
        <w:jc w:val="both"/>
        <w:spacing w:after="0" w:line="238" w:lineRule="auto"/>
        <w:rPr>
          <w:sz w:val="20"/>
          <w:szCs w:val="20"/>
          <w:color w:val="auto"/>
        </w:rPr>
      </w:pPr>
      <w:r>
        <w:rPr>
          <w:rFonts w:ascii="Times New Roman" w:cs="Times New Roman" w:eastAsia="Times New Roman" w:hAnsi="Times New Roman"/>
          <w:sz w:val="22"/>
          <w:szCs w:val="22"/>
          <w:color w:val="auto"/>
        </w:rPr>
        <w:t>If any other person is known to have the right to receive or the power to direct the receipt of dividends from, or the proceeds from the sale of, such securities, a statement to that effect should be included in response to this item and, if such interest relates to more than 5 percent of the class, such person should be identified. A listing of the shareholders of an investment company registered under the Investment Company Act of 1940 or the beneficiaries of employee benefit plan, pension fund or endowment fund is not required.</w:t>
      </w:r>
    </w:p>
    <w:p>
      <w:pPr>
        <w:spacing w:after="0" w:line="200" w:lineRule="exact"/>
        <w:rPr>
          <w:sz w:val="20"/>
          <w:szCs w:val="20"/>
          <w:color w:val="auto"/>
        </w:rPr>
      </w:pPr>
    </w:p>
    <w:p>
      <w:pPr>
        <w:spacing w:after="0" w:line="247" w:lineRule="exact"/>
        <w:rPr>
          <w:sz w:val="20"/>
          <w:szCs w:val="20"/>
          <w:color w:val="auto"/>
        </w:rPr>
      </w:pPr>
    </w:p>
    <w:p>
      <w:pPr>
        <w:ind w:right="180"/>
        <w:spacing w:after="0" w:line="256" w:lineRule="auto"/>
        <w:rPr>
          <w:sz w:val="20"/>
          <w:szCs w:val="20"/>
          <w:color w:val="auto"/>
        </w:rPr>
      </w:pPr>
      <w:r>
        <w:rPr>
          <w:rFonts w:ascii="Times New Roman" w:cs="Times New Roman" w:eastAsia="Times New Roman" w:hAnsi="Times New Roman"/>
          <w:sz w:val="22"/>
          <w:szCs w:val="22"/>
          <w:color w:val="auto"/>
        </w:rPr>
        <w:t>See Item 2(a). Point72 Associates has the right to receive or the power to direct the receipt of dividends from, or the proceeds from the sale of, more than 5 percent of the outstanding Shares.</w:t>
      </w:r>
    </w:p>
    <w:p>
      <w:pPr>
        <w:ind w:right="460"/>
        <w:spacing w:after="0" w:line="256" w:lineRule="auto"/>
        <w:rPr>
          <w:sz w:val="20"/>
          <w:szCs w:val="20"/>
          <w:color w:val="auto"/>
        </w:rPr>
      </w:pPr>
      <w:r>
        <w:rPr>
          <w:rFonts w:ascii="Times New Roman" w:cs="Times New Roman" w:eastAsia="Times New Roman" w:hAnsi="Times New Roman"/>
          <w:sz w:val="22"/>
          <w:szCs w:val="22"/>
          <w:color w:val="auto"/>
        </w:rPr>
        <w:t>Identification and Classification of the Subsidiary Which Acquired the Security Being Reported on by the Parent Holding Company or Control Person.</w:t>
      </w: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Identification and Classification of Members of the Group.</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Notice of Dissolution of Group.</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314"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2"/>
          <w:szCs w:val="22"/>
          <w:color w:val="auto"/>
        </w:rPr>
        <w:t>Certifications:</w:t>
      </w:r>
    </w:p>
    <w:p>
      <w:pPr>
        <w:spacing w:after="0" w:line="44" w:lineRule="exact"/>
        <w:rPr>
          <w:sz w:val="20"/>
          <w:szCs w:val="20"/>
          <w:color w:val="auto"/>
        </w:rPr>
      </w:pPr>
    </w:p>
    <w:p>
      <w:pPr>
        <w:sectPr>
          <w:pgSz w:w="11900" w:h="16838" w:orient="portrait"/>
          <w:cols w:equalWidth="0" w:num="2">
            <w:col w:w="720" w:space="200"/>
            <w:col w:w="10220"/>
          </w:cols>
          <w:pgMar w:left="360" w:top="112" w:right="399" w:bottom="0" w:gutter="0" w:footer="0" w:header="0"/>
        </w:sectPr>
      </w:pPr>
    </w:p>
    <w:p>
      <w:pPr>
        <w:ind w:left="940" w:right="160"/>
        <w:spacing w:after="0" w:line="239" w:lineRule="auto"/>
        <w:rPr>
          <w:sz w:val="20"/>
          <w:szCs w:val="20"/>
          <w:color w:val="auto"/>
        </w:rPr>
      </w:pPr>
      <w:r>
        <w:rPr>
          <w:rFonts w:ascii="Times New Roman" w:cs="Times New Roman" w:eastAsia="Times New Roman" w:hAnsi="Times New Roman"/>
          <w:sz w:val="22"/>
          <w:szCs w:val="22"/>
          <w:color w:val="auto"/>
        </w:rPr>
        <w:t>By signing below I certify that, to the best of my knowledge and belief, the securities referred to above were not acquired and are not held for the purpose of or with the effect of changing or influencing the control of the issuer of the securities and were not acquired and are not held in connection with or as a participant in any transaction having that purpose or effect, other than activities solely in connection with a nomination under § 240.14a-11.</w:t>
      </w:r>
    </w:p>
    <w:p>
      <w:pPr>
        <w:spacing w:after="0" w:line="288"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22"/>
          <w:szCs w:val="22"/>
          <w:color w:val="auto"/>
        </w:rPr>
        <w:t>SIGNATURE</w:t>
      </w:r>
    </w:p>
    <w:p>
      <w:pPr>
        <w:spacing w:after="0" w:line="44" w:lineRule="exact"/>
        <w:rPr>
          <w:sz w:val="20"/>
          <w:szCs w:val="20"/>
          <w:color w:val="auto"/>
        </w:rPr>
      </w:pPr>
    </w:p>
    <w:p>
      <w:pPr>
        <w:ind w:left="1480"/>
        <w:spacing w:after="0" w:line="258" w:lineRule="auto"/>
        <w:rPr>
          <w:sz w:val="20"/>
          <w:szCs w:val="20"/>
          <w:color w:val="auto"/>
        </w:rPr>
      </w:pPr>
      <w:r>
        <w:rPr>
          <w:rFonts w:ascii="Times New Roman" w:cs="Times New Roman" w:eastAsia="Times New Roman" w:hAnsi="Times New Roman"/>
          <w:sz w:val="22"/>
          <w:szCs w:val="22"/>
          <w:color w:val="auto"/>
        </w:rPr>
        <w:t>After reasonable inquiry and to the best of my knowledge and belief, I certify that the information set forth in this statement is true, complete and correct.</w:t>
      </w:r>
    </w:p>
    <w:p>
      <w:pPr>
        <w:spacing w:after="0" w:line="307" w:lineRule="exact"/>
        <w:rPr>
          <w:sz w:val="20"/>
          <w:szCs w:val="20"/>
          <w:color w:val="auto"/>
        </w:rPr>
      </w:pPr>
    </w:p>
    <w:p>
      <w:pPr>
        <w:ind w:left="3020"/>
        <w:spacing w:after="0"/>
        <w:rPr>
          <w:sz w:val="20"/>
          <w:szCs w:val="20"/>
          <w:color w:val="auto"/>
        </w:rPr>
      </w:pPr>
      <w:r>
        <w:rPr>
          <w:rFonts w:ascii="Times New Roman" w:cs="Times New Roman" w:eastAsia="Times New Roman" w:hAnsi="Times New Roman"/>
          <w:sz w:val="22"/>
          <w:szCs w:val="22"/>
          <w:color w:val="auto"/>
        </w:rPr>
        <w:t>Point72 Asset Management, L.P.</w:t>
      </w:r>
    </w:p>
    <w:p>
      <w:pPr>
        <w:spacing w:after="0" w:line="152" w:lineRule="exact"/>
        <w:rPr>
          <w:sz w:val="20"/>
          <w:szCs w:val="20"/>
          <w:color w:val="auto"/>
        </w:rPr>
      </w:pPr>
    </w:p>
    <w:p>
      <w:pPr>
        <w:ind w:left="4640"/>
        <w:spacing w:after="0"/>
        <w:tabs>
          <w:tab w:leader="none" w:pos="572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Jason M. Colombo</w:t>
      </w:r>
    </w:p>
    <w:p>
      <w:pPr>
        <w:spacing w:after="0" w:line="44" w:lineRule="exact"/>
        <w:rPr>
          <w:sz w:val="20"/>
          <w:szCs w:val="20"/>
          <w:color w:val="auto"/>
        </w:rPr>
      </w:pPr>
    </w:p>
    <w:p>
      <w:pPr>
        <w:ind w:left="4640"/>
        <w:spacing w:after="0"/>
        <w:rPr>
          <w:sz w:val="20"/>
          <w:szCs w:val="20"/>
          <w:color w:val="auto"/>
        </w:rPr>
      </w:pPr>
      <w:r>
        <w:rPr>
          <w:rFonts w:ascii="Times New Roman" w:cs="Times New Roman" w:eastAsia="Times New Roman" w:hAnsi="Times New Roman"/>
          <w:sz w:val="22"/>
          <w:szCs w:val="22"/>
          <w:color w:val="auto"/>
        </w:rPr>
        <w:t>Name/Title: Jason M. Colombo, Authorized Person</w:t>
      </w:r>
    </w:p>
    <w:p>
      <w:pPr>
        <w:spacing w:after="0" w:line="44" w:lineRule="exact"/>
        <w:rPr>
          <w:sz w:val="20"/>
          <w:szCs w:val="20"/>
          <w:color w:val="auto"/>
        </w:rPr>
      </w:pPr>
    </w:p>
    <w:p>
      <w:pPr>
        <w:ind w:left="4640"/>
        <w:spacing w:after="0"/>
        <w:tabs>
          <w:tab w:leader="none" w:pos="572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06/09/2026</w:t>
      </w:r>
    </w:p>
    <w:p>
      <w:pPr>
        <w:spacing w:after="0" w:line="152" w:lineRule="exact"/>
        <w:rPr>
          <w:sz w:val="20"/>
          <w:szCs w:val="20"/>
          <w:color w:val="auto"/>
        </w:rPr>
      </w:pPr>
    </w:p>
    <w:p>
      <w:pPr>
        <w:ind w:left="2820"/>
        <w:spacing w:after="0"/>
        <w:rPr>
          <w:sz w:val="20"/>
          <w:szCs w:val="20"/>
          <w:color w:val="auto"/>
        </w:rPr>
      </w:pPr>
      <w:r>
        <w:rPr>
          <w:rFonts w:ascii="Times New Roman" w:cs="Times New Roman" w:eastAsia="Times New Roman" w:hAnsi="Times New Roman"/>
          <w:sz w:val="22"/>
          <w:szCs w:val="22"/>
          <w:color w:val="auto"/>
        </w:rPr>
        <w:t>Point72 Capital Advisors, Inc.</w:t>
      </w:r>
    </w:p>
    <w:p>
      <w:pPr>
        <w:spacing w:after="0" w:line="152" w:lineRule="exact"/>
        <w:rPr>
          <w:sz w:val="20"/>
          <w:szCs w:val="20"/>
          <w:color w:val="auto"/>
        </w:rPr>
      </w:pPr>
    </w:p>
    <w:p>
      <w:pPr>
        <w:ind w:left="4640"/>
        <w:spacing w:after="0"/>
        <w:tabs>
          <w:tab w:leader="none" w:pos="572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Jason M. Colombo</w:t>
      </w:r>
    </w:p>
    <w:p>
      <w:pPr>
        <w:spacing w:after="0" w:line="44" w:lineRule="exact"/>
        <w:rPr>
          <w:sz w:val="20"/>
          <w:szCs w:val="20"/>
          <w:color w:val="auto"/>
        </w:rPr>
      </w:pPr>
    </w:p>
    <w:p>
      <w:pPr>
        <w:ind w:left="4640"/>
        <w:spacing w:after="0"/>
        <w:rPr>
          <w:sz w:val="20"/>
          <w:szCs w:val="20"/>
          <w:color w:val="auto"/>
        </w:rPr>
      </w:pPr>
      <w:r>
        <w:rPr>
          <w:rFonts w:ascii="Times New Roman" w:cs="Times New Roman" w:eastAsia="Times New Roman" w:hAnsi="Times New Roman"/>
          <w:sz w:val="22"/>
          <w:szCs w:val="22"/>
          <w:color w:val="auto"/>
        </w:rPr>
        <w:t>Name/Title: Jason M. Colombo, Authorized Person</w:t>
      </w:r>
    </w:p>
    <w:p>
      <w:pPr>
        <w:spacing w:after="0" w:line="44" w:lineRule="exact"/>
        <w:rPr>
          <w:sz w:val="20"/>
          <w:szCs w:val="20"/>
          <w:color w:val="auto"/>
        </w:rPr>
      </w:pPr>
    </w:p>
    <w:p>
      <w:pPr>
        <w:ind w:left="4640"/>
        <w:spacing w:after="0"/>
        <w:tabs>
          <w:tab w:leader="none" w:pos="572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06/09/2026</w:t>
      </w:r>
    </w:p>
    <w:p>
      <w:pPr>
        <w:spacing w:after="0" w:line="152" w:lineRule="exact"/>
        <w:rPr>
          <w:sz w:val="20"/>
          <w:szCs w:val="20"/>
          <w:color w:val="auto"/>
        </w:rPr>
      </w:pPr>
    </w:p>
    <w:p>
      <w:pPr>
        <w:ind w:left="1660"/>
        <w:spacing w:after="0"/>
        <w:rPr>
          <w:sz w:val="20"/>
          <w:szCs w:val="20"/>
          <w:color w:val="auto"/>
        </w:rPr>
      </w:pPr>
      <w:r>
        <w:rPr>
          <w:rFonts w:ascii="Times New Roman" w:cs="Times New Roman" w:eastAsia="Times New Roman" w:hAnsi="Times New Roman"/>
          <w:sz w:val="22"/>
          <w:szCs w:val="22"/>
          <w:color w:val="auto"/>
        </w:rPr>
        <w:t>Steven A. Cohen</w:t>
      </w:r>
    </w:p>
    <w:p>
      <w:pPr>
        <w:spacing w:after="0" w:line="152" w:lineRule="exact"/>
        <w:rPr>
          <w:sz w:val="20"/>
          <w:szCs w:val="20"/>
          <w:color w:val="auto"/>
        </w:rPr>
      </w:pPr>
    </w:p>
    <w:p>
      <w:pPr>
        <w:ind w:left="4640"/>
        <w:spacing w:after="0"/>
        <w:tabs>
          <w:tab w:leader="none" w:pos="572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Jason M. Colombo</w:t>
      </w:r>
    </w:p>
    <w:p>
      <w:pPr>
        <w:spacing w:after="0" w:line="44" w:lineRule="exact"/>
        <w:rPr>
          <w:sz w:val="20"/>
          <w:szCs w:val="20"/>
          <w:color w:val="auto"/>
        </w:rPr>
      </w:pPr>
    </w:p>
    <w:p>
      <w:pPr>
        <w:ind w:left="4640"/>
        <w:spacing w:after="0"/>
        <w:rPr>
          <w:sz w:val="20"/>
          <w:szCs w:val="20"/>
          <w:color w:val="auto"/>
        </w:rPr>
      </w:pPr>
      <w:r>
        <w:rPr>
          <w:rFonts w:ascii="Times New Roman" w:cs="Times New Roman" w:eastAsia="Times New Roman" w:hAnsi="Times New Roman"/>
          <w:sz w:val="22"/>
          <w:szCs w:val="22"/>
          <w:color w:val="auto"/>
        </w:rPr>
        <w:t>Name/Title: Jason M. Colombo, Authorized Person</w:t>
      </w:r>
    </w:p>
    <w:p>
      <w:pPr>
        <w:spacing w:after="0" w:line="44" w:lineRule="exact"/>
        <w:rPr>
          <w:sz w:val="20"/>
          <w:szCs w:val="20"/>
          <w:color w:val="auto"/>
        </w:rPr>
      </w:pPr>
    </w:p>
    <w:p>
      <w:pPr>
        <w:ind w:left="4640"/>
        <w:spacing w:after="0"/>
        <w:tabs>
          <w:tab w:leader="none" w:pos="572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06/09/2026</w:t>
      </w:r>
    </w:p>
    <w:p>
      <w:pPr>
        <w:spacing w:after="0" w:line="108" w:lineRule="exact"/>
        <w:rPr>
          <w:sz w:val="20"/>
          <w:szCs w:val="20"/>
          <w:color w:val="auto"/>
        </w:rPr>
      </w:pPr>
    </w:p>
    <w:p>
      <w:pPr>
        <w:jc w:val="center"/>
        <w:ind w:right="8000"/>
        <w:spacing w:after="0"/>
        <w:rPr>
          <w:sz w:val="20"/>
          <w:szCs w:val="20"/>
          <w:color w:val="auto"/>
        </w:rPr>
      </w:pPr>
      <w:r>
        <w:rPr>
          <w:rFonts w:ascii="Times New Roman" w:cs="Times New Roman" w:eastAsia="Times New Roman" w:hAnsi="Times New Roman"/>
          <w:sz w:val="22"/>
          <w:szCs w:val="22"/>
          <w:b w:val="1"/>
          <w:bCs w:val="1"/>
          <w:color w:val="auto"/>
        </w:rPr>
        <w:t>Exhibit Information</w:t>
      </w:r>
    </w:p>
    <w:p>
      <w:pPr>
        <w:spacing w:after="0" w:line="29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Exhibit 99.1: Joint Filing Agreement</w:t>
      </w:r>
    </w:p>
    <w:p>
      <w:pPr>
        <w:sectPr>
          <w:pgSz w:w="11900" w:h="16838" w:orient="portrait"/>
          <w:cols w:equalWidth="0" w:num="1">
            <w:col w:w="11140"/>
          </w:cols>
          <w:pgMar w:left="360" w:top="112" w:right="399" w:bottom="0" w:gutter="0" w:footer="0" w:header="0"/>
          <w:type w:val="continuous"/>
        </w:sectPr>
      </w:pPr>
    </w:p>
    <w:bookmarkStart w:id="5" w:name="page6"/>
    <w:bookmarkEnd w:id="5"/>
    <w:p>
      <w:pPr>
        <w:spacing w:after="0"/>
        <w:rPr>
          <w:sz w:val="20"/>
          <w:szCs w:val="20"/>
          <w:color w:val="auto"/>
        </w:rPr>
      </w:pPr>
    </w:p>
    <w:p>
      <w:pPr>
        <w:sectPr>
          <w:pgSz w:w="11900" w:h="16838" w:orient="portrait"/>
          <w:cols w:equalWidth="1" w:num="1" w:space="0"/>
          <w:pgMar w:left="1440" w:top="1440" w:right="1440" w:bottom="875" w:gutter="0" w:footer="0" w:header="0"/>
        </w:sectPr>
      </w:pPr>
    </w:p>
    <w:bookmarkStart w:id="6" w:name="page7"/>
    <w:bookmarkEnd w:id="6"/>
    <w:p>
      <w:pPr>
        <w:jc w:val="center"/>
        <w:ind w:right="-19"/>
        <w:spacing w:after="0"/>
        <w:rPr>
          <w:sz w:val="20"/>
          <w:szCs w:val="20"/>
          <w:color w:val="auto"/>
        </w:rPr>
      </w:pPr>
      <w:r>
        <w:rPr>
          <w:rFonts w:ascii="Times New Roman" w:cs="Times New Roman" w:eastAsia="Times New Roman" w:hAnsi="Times New Roman"/>
          <w:sz w:val="20"/>
          <w:szCs w:val="20"/>
          <w:b w:val="1"/>
          <w:bCs w:val="1"/>
          <w:color w:val="auto"/>
        </w:rPr>
        <w:t>EXHIBIT 99.1</w:t>
      </w:r>
    </w:p>
    <w:p>
      <w:pPr>
        <w:spacing w:after="0" w:line="21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b w:val="1"/>
          <w:bCs w:val="1"/>
          <w:color w:val="auto"/>
        </w:rPr>
        <w:t>JOINT ACQUISITION STATEMENT</w:t>
      </w:r>
    </w:p>
    <w:p>
      <w:pPr>
        <w:spacing w:after="0" w:line="2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b w:val="1"/>
          <w:bCs w:val="1"/>
          <w:color w:val="auto"/>
        </w:rPr>
        <w:t>PURSUANT TO RULE 13d-1(k)</w:t>
      </w:r>
    </w:p>
    <w:p>
      <w:pPr>
        <w:spacing w:after="0" w:line="194" w:lineRule="exact"/>
        <w:rPr>
          <w:sz w:val="20"/>
          <w:szCs w:val="20"/>
          <w:color w:val="auto"/>
        </w:rPr>
      </w:pPr>
    </w:p>
    <w:p>
      <w:pPr>
        <w:jc w:val="both"/>
        <w:ind w:firstLine="648"/>
        <w:spacing w:after="0" w:line="245" w:lineRule="auto"/>
        <w:rPr>
          <w:sz w:val="20"/>
          <w:szCs w:val="20"/>
          <w:color w:val="auto"/>
        </w:rPr>
      </w:pPr>
      <w:r>
        <w:rPr>
          <w:rFonts w:ascii="Times New Roman" w:cs="Times New Roman" w:eastAsia="Times New Roman" w:hAnsi="Times New Roman"/>
          <w:sz w:val="20"/>
          <w:szCs w:val="20"/>
          <w:color w:val="auto"/>
        </w:rPr>
        <w:t>The undersigned acknowledge and agree that the foregoing statement on Schedule 13G is filed on behalf of each of the undersigned and that all subsequent amendments to this statement on Schedule 13G shall be filed on behalf of each of the undersigned without the necessity of filing additional joint filing agreements. The undersigned acknowledge that each shall be responsible for the timely filing of such amendments, and for the completeness and accuracy of the information concerning him or it contained herein and therein, but shall not be responsible for the completeness and accuracy of the information concerning the others, except to the extent that he or it knows or has reason to believe that such information is inaccurate.</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Date: June 9, 2026</w:t>
      </w:r>
    </w:p>
    <w:p>
      <w:pPr>
        <w:spacing w:after="0" w:line="200" w:lineRule="exact"/>
        <w:rPr>
          <w:sz w:val="20"/>
          <w:szCs w:val="20"/>
          <w:color w:val="auto"/>
        </w:rPr>
      </w:pPr>
    </w:p>
    <w:p>
      <w:pPr>
        <w:spacing w:after="0" w:line="25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POINT72 ASSET MANAGEMENT, L.P.</w:t>
      </w:r>
    </w:p>
    <w:p>
      <w:pPr>
        <w:spacing w:after="0" w:line="200" w:lineRule="exact"/>
        <w:rPr>
          <w:sz w:val="20"/>
          <w:szCs w:val="20"/>
          <w:color w:val="auto"/>
        </w:rPr>
      </w:pPr>
    </w:p>
    <w:p>
      <w:pPr>
        <w:spacing w:after="0" w:line="263" w:lineRule="exact"/>
        <w:rPr>
          <w:sz w:val="20"/>
          <w:szCs w:val="20"/>
          <w:color w:val="auto"/>
        </w:rPr>
      </w:pPr>
    </w:p>
    <w:p>
      <w:pPr>
        <w:ind w:left="60"/>
        <w:spacing w:after="0"/>
        <w:rPr>
          <w:sz w:val="20"/>
          <w:szCs w:val="20"/>
          <w:color w:val="auto"/>
        </w:rPr>
      </w:pPr>
      <w:r>
        <w:rPr>
          <w:rFonts w:ascii="Times New Roman" w:cs="Times New Roman" w:eastAsia="Times New Roman" w:hAnsi="Times New Roman"/>
          <w:sz w:val="20"/>
          <w:szCs w:val="20"/>
          <w:color w:val="auto"/>
        </w:rPr>
        <w:t>/s/ Jason M. Colombo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13970</wp:posOffset>
            </wp:positionV>
            <wp:extent cx="3566160" cy="825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3566160" cy="8255"/>
                    </a:xfrm>
                    <a:prstGeom prst="rect">
                      <a:avLst/>
                    </a:prstGeom>
                    <a:noFill/>
                  </pic:spPr>
                </pic:pic>
              </a:graphicData>
            </a:graphic>
          </wp:anchor>
        </w:drawing>
      </w:r>
    </w:p>
    <w:p>
      <w:pPr>
        <w:spacing w:after="0" w:line="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Name: Jason M. Colombo</w:t>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Title: Authorized Person</w:t>
      </w:r>
    </w:p>
    <w:p>
      <w:pPr>
        <w:spacing w:after="0" w:line="200" w:lineRule="exact"/>
        <w:rPr>
          <w:sz w:val="20"/>
          <w:szCs w:val="20"/>
          <w:color w:val="auto"/>
        </w:rPr>
      </w:pP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POINT72 CAPITAL ADVISORS, INC.</w:t>
      </w:r>
    </w:p>
    <w:p>
      <w:pPr>
        <w:spacing w:after="0" w:line="200" w:lineRule="exact"/>
        <w:rPr>
          <w:sz w:val="20"/>
          <w:szCs w:val="20"/>
          <w:color w:val="auto"/>
        </w:rPr>
      </w:pPr>
    </w:p>
    <w:p>
      <w:pPr>
        <w:spacing w:after="0" w:line="263" w:lineRule="exact"/>
        <w:rPr>
          <w:sz w:val="20"/>
          <w:szCs w:val="20"/>
          <w:color w:val="auto"/>
        </w:rPr>
      </w:pPr>
    </w:p>
    <w:p>
      <w:pPr>
        <w:ind w:left="60"/>
        <w:spacing w:after="0"/>
        <w:rPr>
          <w:sz w:val="20"/>
          <w:szCs w:val="20"/>
          <w:color w:val="auto"/>
        </w:rPr>
      </w:pPr>
      <w:r>
        <w:rPr>
          <w:rFonts w:ascii="Times New Roman" w:cs="Times New Roman" w:eastAsia="Times New Roman" w:hAnsi="Times New Roman"/>
          <w:sz w:val="20"/>
          <w:szCs w:val="20"/>
          <w:color w:val="auto"/>
        </w:rPr>
        <w:t>/s/ Jason M. Colombo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13970</wp:posOffset>
            </wp:positionV>
            <wp:extent cx="3566160" cy="88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3566160" cy="8890"/>
                    </a:xfrm>
                    <a:prstGeom prst="rect">
                      <a:avLst/>
                    </a:prstGeom>
                    <a:noFill/>
                  </pic:spPr>
                </pic:pic>
              </a:graphicData>
            </a:graphic>
          </wp:anchor>
        </w:drawing>
      </w:r>
    </w:p>
    <w:p>
      <w:pPr>
        <w:spacing w:after="0" w:line="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Name: Jason M. Colombo</w:t>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Title: Authorized Person</w:t>
      </w:r>
    </w:p>
    <w:p>
      <w:pPr>
        <w:spacing w:after="0" w:line="200" w:lineRule="exact"/>
        <w:rPr>
          <w:sz w:val="20"/>
          <w:szCs w:val="20"/>
          <w:color w:val="auto"/>
        </w:rPr>
      </w:pP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STEVEN A. COHEN</w:t>
      </w:r>
    </w:p>
    <w:p>
      <w:pPr>
        <w:spacing w:after="0" w:line="200" w:lineRule="exact"/>
        <w:rPr>
          <w:sz w:val="20"/>
          <w:szCs w:val="20"/>
          <w:color w:val="auto"/>
        </w:rPr>
      </w:pPr>
    </w:p>
    <w:p>
      <w:pPr>
        <w:spacing w:after="0" w:line="263" w:lineRule="exact"/>
        <w:rPr>
          <w:sz w:val="20"/>
          <w:szCs w:val="20"/>
          <w:color w:val="auto"/>
        </w:rPr>
      </w:pPr>
    </w:p>
    <w:p>
      <w:pPr>
        <w:ind w:left="60"/>
        <w:spacing w:after="0"/>
        <w:rPr>
          <w:sz w:val="20"/>
          <w:szCs w:val="20"/>
          <w:color w:val="auto"/>
        </w:rPr>
      </w:pPr>
      <w:r>
        <w:rPr>
          <w:rFonts w:ascii="Times New Roman" w:cs="Times New Roman" w:eastAsia="Times New Roman" w:hAnsi="Times New Roman"/>
          <w:sz w:val="20"/>
          <w:szCs w:val="20"/>
          <w:color w:val="auto"/>
        </w:rPr>
        <w:t>/s/ Jason M. Colombo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13970</wp:posOffset>
            </wp:positionV>
            <wp:extent cx="3566160" cy="825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3566160" cy="8255"/>
                    </a:xfrm>
                    <a:prstGeom prst="rect">
                      <a:avLst/>
                    </a:prstGeom>
                    <a:noFill/>
                  </pic:spPr>
                </pic:pic>
              </a:graphicData>
            </a:graphic>
          </wp:anchor>
        </w:drawing>
      </w:r>
    </w:p>
    <w:p>
      <w:pPr>
        <w:spacing w:after="0" w:line="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Name: Jason M. Colombo</w:t>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Title: Authorized Person</w:t>
      </w:r>
    </w:p>
    <w:sectPr>
      <w:pgSz w:w="11900" w:h="16838" w:orient="portrait"/>
      <w:cols w:equalWidth="0" w:num="1">
        <w:col w:w="11240"/>
      </w:cols>
      <w:pgMar w:left="320" w:top="114"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2AE8944A"/>
    <w:multiLevelType w:val="hybridMultilevel"/>
    <w:lvl w:ilvl="0">
      <w:lvlJc w:val="left"/>
      <w:lvlText w:val="2"/>
      <w:numFmt w:val="bullet"/>
      <w:start w:val="1"/>
    </w:lvl>
  </w:abstractNum>
  <w:abstractNum w:abstractNumId="1">
    <w:nsid w:val="625558EC"/>
    <w:multiLevelType w:val="hybridMultilevel"/>
    <w:lvl w:ilvl="0">
      <w:lvlJc w:val="left"/>
      <w:lvlText w:val="3"/>
      <w:numFmt w:val="bullet"/>
      <w:start w:val="1"/>
    </w:lvl>
  </w:abstractNum>
  <w:abstractNum w:abstractNumId="2">
    <w:nsid w:val="238E1F29"/>
    <w:multiLevelType w:val="hybridMultilevel"/>
    <w:lvl w:ilvl="0">
      <w:lvlJc w:val="left"/>
      <w:lvlText w:val="%1"/>
      <w:numFmt w:val="decimal"/>
      <w:start w:val="12"/>
    </w:lvl>
  </w:abstractNum>
  <w:abstractNum w:abstractNumId="3">
    <w:nsid w:val="46E87CCD"/>
    <w:multiLevelType w:val="hybridMultilevel"/>
    <w:lvl w:ilvl="0">
      <w:lvlJc w:val="left"/>
      <w:lvlText w:val="(%1)"/>
      <w:numFmt w:val="lowerLetter"/>
      <w:start w:val="1"/>
    </w:lvl>
  </w:abstractNum>
  <w:abstractNum w:abstractNumId="4">
    <w:nsid w:val="3D1B58BA"/>
    <w:multiLevelType w:val="hybridMultilevel"/>
    <w:lvl w:ilvl="0">
      <w:lvlJc w:val="left"/>
      <w:lvlText w:val="(%1)"/>
      <w:numFmt w:val="lowerLetter"/>
      <w:start w:val="1"/>
    </w:lvl>
  </w:abstractNum>
  <w:abstractNum w:abstractNumId="5">
    <w:nsid w:val="507ED7AB"/>
    <w:multiLevelType w:val="hybridMultilevel"/>
    <w:lvl w:ilvl="0">
      <w:lvlJc w:val="left"/>
      <w:lvlText w:val="(%1)"/>
      <w:numFmt w:val="lowerLetter"/>
      <w:start w:val="3"/>
    </w:lvl>
  </w:abstractNum>
  <w:num w:numId="1">
    <w:abstractNumId w:val="0"/>
  </w:num>
  <w:num w:numId="2">
    <w:abstractNumId w:val="1"/>
  </w:num>
  <w:num w:numId="3">
    <w:abstractNumId w:val="2"/>
  </w:num>
  <w:num w:numId="4">
    <w:abstractNumId w:val="3"/>
  </w:num>
  <w:num w:numId="5">
    <w:abstractNumId w:val="4"/>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jpeg"/><Relationship Id="rId15" Type="http://schemas.openxmlformats.org/officeDocument/2006/relationships/image" Target="media/image8.jpe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jpeg"/><Relationship Id="rId19" Type="http://schemas.openxmlformats.org/officeDocument/2006/relationships/image" Target="media/image12.jpeg"/><Relationship Id="rId20" Type="http://schemas.openxmlformats.org/officeDocument/2006/relationships/image" Target="media/image13.jpeg"/><Relationship Id="rId21" Type="http://schemas.openxmlformats.org/officeDocument/2006/relationships/image" Target="media/image14.jpeg"/><Relationship Id="rId22" Type="http://schemas.openxmlformats.org/officeDocument/2006/relationships/image" Target="media/image15.jpeg"/><Relationship Id="rId23" Type="http://schemas.openxmlformats.org/officeDocument/2006/relationships/image" Target="media/image16.jpeg"/><Relationship Id="rId24" Type="http://schemas.openxmlformats.org/officeDocument/2006/relationships/image" Target="media/image17.jpeg"/><Relationship Id="rId25" Type="http://schemas.openxmlformats.org/officeDocument/2006/relationships/image" Target="media/image18.jpeg"/><Relationship Id="rId26" Type="http://schemas.openxmlformats.org/officeDocument/2006/relationships/image" Target="media/image19.jpeg"/><Relationship Id="rId27" Type="http://schemas.openxmlformats.org/officeDocument/2006/relationships/image" Target="media/image20.jpeg"/><Relationship Id="rId28" Type="http://schemas.openxmlformats.org/officeDocument/2006/relationships/image" Target="media/image21.jpeg"/><Relationship Id="rId29" Type="http://schemas.openxmlformats.org/officeDocument/2006/relationships/image" Target="media/image22.jpeg"/><Relationship Id="rId30" Type="http://schemas.openxmlformats.org/officeDocument/2006/relationships/image" Target="media/image23.jpeg"/><Relationship Id="rId31" Type="http://schemas.openxmlformats.org/officeDocument/2006/relationships/image" Target="media/image24.jpeg"/><Relationship Id="rId32" Type="http://schemas.openxmlformats.org/officeDocument/2006/relationships/image" Target="media/image25.jpeg"/><Relationship Id="rId33" Type="http://schemas.openxmlformats.org/officeDocument/2006/relationships/image" Target="media/image26.jpeg"/><Relationship Id="rId34" Type="http://schemas.openxmlformats.org/officeDocument/2006/relationships/image" Target="media/image27.jpeg"/><Relationship Id="rId35" Type="http://schemas.openxmlformats.org/officeDocument/2006/relationships/image" Target="media/image28.jpeg"/><Relationship Id="rId36" Type="http://schemas.openxmlformats.org/officeDocument/2006/relationships/image" Target="media/image29.jpeg"/><Relationship Id="rId37" Type="http://schemas.openxmlformats.org/officeDocument/2006/relationships/image" Target="media/image30.jpeg"/><Relationship Id="rId38" Type="http://schemas.openxmlformats.org/officeDocument/2006/relationships/image" Target="media/image31.jpe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2026-06-09T16:06:04Z</dcterms:created>
  <dcterms:modified xsi:type="dcterms:W3CDTF">2026-06-09T16:06:04Z</dcterms:modified>
</cp:coreProperties>
</file>