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pPr>
      <w:bookmarkStart w:id="0" w:name="dsgn-20261104.htm"/>
      <w:bookmarkStart w:id="1" w:name="ksdsgn20261104"/>
      <w:bookmarkEnd w:id="0"/>
      <w:bookmarkEnd w:id="1"/>
      <w: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pPr>
      <w: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pPr>
      <w: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66" w:type="dxa"/>
        <w:jc w:val="left"/>
        <w:tblInd w:w="0" w:type="dxa"/>
        <w:tblLayout w:type="fixed"/>
        <w:tblCellMar>
          <w:top w:w="28" w:type="dxa"/>
          <w:left w:w="28" w:type="dxa"/>
          <w:bottom w:w="28" w:type="dxa"/>
          <w:right w:w="28" w:type="dxa"/>
        </w:tblCellMar>
      </w:tblPr>
      <w:tblGrid>
        <w:gridCol w:w="5866"/>
      </w:tblGrid>
      <w:tr>
        <w:tc>
          <w:tcPr>
            <w:tcW w:w="5866" w:type="dxa"/>
            <w:tcBorders/>
            <w:vAlign w:val="center"/>
          </w:tcPr>
          <w:p>
            <w:pPr>
              <w:pStyle w:val="TableContents"/>
              <w:bidi w:val="0"/>
              <w:spacing w:before="0" w:after="283"/>
              <w:jc w:val="left"/>
              <w:rPr>
                <w:sz w:val="4"/>
                <w:szCs w:val="4"/>
              </w:rPr>
            </w:pPr>
            <w:r>
              <w:rPr>
                <w:sz w:val="4"/>
                <w:szCs w:val="4"/>
              </w:rPr>
            </w:r>
          </w:p>
        </w:tc>
      </w:tr>
      <w:tr>
        <w:tc>
          <w:tcPr>
            <w:tcW w:w="58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November 04, 2026</w:t>
            </w:r>
          </w:p>
        </w:tc>
      </w:tr>
    </w:tbl>
    <w:p>
      <w:pPr>
        <w:pStyle w:val="TextBody"/>
        <w:pBdr>
          <w:bottom w:val="single" w:sz="6" w:space="1" w:color="000000"/>
        </w:pBdr>
        <w:bidi w:val="0"/>
        <w:spacing w:before="100" w:after="283"/>
        <w:jc w:val="left"/>
      </w:pPr>
      <w:r>
        <w:t> </w:t>
      </w:r>
    </w:p>
    <w:p>
      <w:pPr>
        <w:pStyle w:val="TextBody"/>
        <w:bidi w:val="0"/>
        <w:jc w:val="left"/>
      </w:pPr>
      <w: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Design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pPr>
      <w:r>
        <w:t> </w:t>
      </w:r>
    </w:p>
    <w:p>
      <w:pPr>
        <w:pStyle w:val="TextBody"/>
        <w:bidi w:val="0"/>
        <w:jc w:val="left"/>
      </w:pPr>
      <w: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001-40288</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82-3929248</w:t>
            </w:r>
          </w:p>
        </w:tc>
      </w:tr>
      <w:t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c>
          <w:tcPr>
            <w:tcW w:w="949" w:type="dxa"/>
            <w:tcBorders/>
            <w:tcMar>
              <w:top w:w="0" w:type="dxa"/>
              <w:left w:w="0" w:type="dxa"/>
              <w:bottom w:w="0" w:type="dxa"/>
              <w:right w:w="0" w:type="dxa"/>
            </w:tcMar>
            <w:vAlign w:val="center"/>
          </w:tcPr>
          <w:p>
            <w:pPr>
              <w:pStyle w:val="TableContents"/>
              <w:bidi w:val="0"/>
              <w:spacing w:before="0" w:after="283"/>
              <w:jc w:val="center"/>
            </w:pPr>
            <w:r>
              <w:t> </w:t>
            </w:r>
          </w:p>
        </w:tc>
        <w:tc>
          <w:tcPr>
            <w:tcW w:w="866" w:type="dxa"/>
            <w:tcBorders/>
            <w:tcMar>
              <w:top w:w="0" w:type="dxa"/>
              <w:left w:w="0" w:type="dxa"/>
              <w:bottom w:w="0" w:type="dxa"/>
              <w:right w:w="0" w:type="dxa"/>
            </w:tcMar>
            <w:vAlign w:val="center"/>
          </w:tcPr>
          <w:p>
            <w:pPr>
              <w:pStyle w:val="TableContents"/>
              <w:bidi w:val="0"/>
              <w:spacing w:before="0" w:after="283"/>
              <w:jc w:val="center"/>
            </w:pPr>
            <w:r>
              <w:t> </w:t>
            </w:r>
          </w:p>
        </w:tc>
        <w:tc>
          <w:tcPr>
            <w:tcW w:w="870" w:type="dxa"/>
            <w:tcBorders/>
            <w:tcMar>
              <w:top w:w="0" w:type="dxa"/>
              <w:left w:w="0" w:type="dxa"/>
              <w:bottom w:w="0" w:type="dxa"/>
              <w:right w:w="0" w:type="dxa"/>
            </w:tcMar>
            <w:vAlign w:val="center"/>
          </w:tcPr>
          <w:p>
            <w:pPr>
              <w:pStyle w:val="TableContents"/>
              <w:bidi w:val="0"/>
              <w:spacing w:before="0" w:after="283"/>
              <w:jc w:val="center"/>
            </w:pPr>
            <w:r>
              <w:t> </w:t>
            </w:r>
          </w:p>
        </w:tc>
        <w:tc>
          <w:tcPr>
            <w:tcW w:w="1846" w:type="dxa"/>
            <w:tcBorders/>
            <w:tcMar>
              <w:top w:w="0" w:type="dxa"/>
              <w:left w:w="0" w:type="dxa"/>
              <w:bottom w:w="0" w:type="dxa"/>
              <w:right w:w="0" w:type="dxa"/>
            </w:tcMar>
            <w:vAlign w:val="center"/>
          </w:tcPr>
          <w:p>
            <w:pPr>
              <w:pStyle w:val="TableContents"/>
              <w:bidi w:val="0"/>
              <w:spacing w:before="0" w:after="283"/>
              <w:jc w:val="center"/>
            </w:pPr>
            <w:r>
              <w:t> </w:t>
            </w:r>
          </w:p>
        </w:tc>
        <w:tc>
          <w:tcPr>
            <w:tcW w:w="1336" w:type="dxa"/>
            <w:tcBorders/>
            <w:tcMar>
              <w:top w:w="0" w:type="dxa"/>
              <w:left w:w="0" w:type="dxa"/>
              <w:bottom w:w="0" w:type="dxa"/>
              <w:right w:w="0" w:type="dxa"/>
            </w:tcMar>
            <w:vAlign w:val="center"/>
          </w:tcPr>
          <w:p>
            <w:pPr>
              <w:pStyle w:val="TableContents"/>
              <w:bidi w:val="0"/>
              <w:spacing w:before="0" w:after="283"/>
              <w:jc w:val="center"/>
            </w:pPr>
            <w:r>
              <w:t> </w:t>
            </w:r>
          </w:p>
        </w:tc>
      </w:tr>
      <w:t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6005 Hidden Valley Road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110</w:t>
            </w:r>
          </w:p>
        </w:tc>
        <w:tc>
          <w:tcPr>
            <w:tcW w:w="3182" w:type="dxa"/>
            <w:gridSpan w:val="2"/>
            <w:tcBorders/>
            <w:tcMar>
              <w:top w:w="0" w:type="dxa"/>
              <w:left w:w="0" w:type="dxa"/>
              <w:bottom w:w="0" w:type="dxa"/>
              <w:right w:w="0" w:type="dxa"/>
            </w:tcMar>
            <w:vAlign w:val="center"/>
          </w:tcPr>
          <w:p>
            <w:pPr>
              <w:pStyle w:val="TableContents"/>
              <w:bidi w:val="0"/>
              <w:spacing w:before="0" w:after="283"/>
              <w:jc w:val="center"/>
            </w:pPr>
            <w:r>
              <w:t> </w:t>
            </w:r>
          </w:p>
        </w:tc>
      </w:tr>
      <w:t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Carlsbad, California</w:t>
            </w:r>
          </w:p>
        </w:tc>
        <w:tc>
          <w:tcPr>
            <w:tcW w:w="1846" w:type="dxa"/>
            <w:tcBorders/>
            <w:tcMar>
              <w:top w:w="0" w:type="dxa"/>
              <w:left w:w="0" w:type="dxa"/>
              <w:bottom w:w="0" w:type="dxa"/>
              <w:right w:w="0" w:type="dxa"/>
            </w:tcMar>
            <w:vAlign w:val="center"/>
          </w:tcPr>
          <w:p>
            <w:pPr>
              <w:pStyle w:val="TableContents"/>
              <w:bidi w:val="0"/>
              <w:spacing w:before="0" w:after="283"/>
              <w:jc w:val="left"/>
            </w:pPr>
            <w: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92011</w:t>
            </w:r>
          </w:p>
        </w:tc>
      </w:tr>
      <w:t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pPr>
            <w: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pPr>
      <w:r>
        <w:t> </w:t>
      </w:r>
    </w:p>
    <w:tbl>
      <w:tblPr>
        <w:tblW w:w="6076" w:type="dxa"/>
        <w:jc w:val="left"/>
        <w:tblInd w:w="0" w:type="dxa"/>
        <w:tblLayout w:type="fixed"/>
        <w:tblCellMar>
          <w:top w:w="28" w:type="dxa"/>
          <w:left w:w="28" w:type="dxa"/>
          <w:bottom w:w="28" w:type="dxa"/>
          <w:right w:w="28" w:type="dxa"/>
        </w:tblCellMar>
      </w:tblPr>
      <w:tblGrid>
        <w:gridCol w:w="6076"/>
      </w:tblGrid>
      <w:tr>
        <w:tc>
          <w:tcPr>
            <w:tcW w:w="6076" w:type="dxa"/>
            <w:tcBorders/>
            <w:vAlign w:val="center"/>
          </w:tcPr>
          <w:p>
            <w:pPr>
              <w:pStyle w:val="TableContents"/>
              <w:bidi w:val="0"/>
              <w:spacing w:before="0" w:after="283"/>
              <w:jc w:val="left"/>
              <w:rPr>
                <w:sz w:val="4"/>
                <w:szCs w:val="4"/>
              </w:rPr>
            </w:pPr>
            <w:r>
              <w:rPr>
                <w:sz w:val="4"/>
                <w:szCs w:val="4"/>
              </w:rPr>
            </w:r>
          </w:p>
        </w:tc>
      </w:tr>
      <w:t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(858)</w:t>
            </w:r>
            <w:r>
              <w:rPr>
                <w:rFonts w:ascii="Times New Roman" w:hAnsi="Times New Roman"/>
                <w:color w:val="000000"/>
                <w:sz w:val="20"/>
              </w:rPr>
              <w:t xml:space="preserve"> </w:t>
            </w:r>
            <w:r>
              <w:rPr>
                <w:rFonts w:ascii="Times New Roman" w:hAnsi="Times New Roman"/>
                <w:b/>
                <w:color w:val="000000"/>
                <w:sz w:val="20"/>
              </w:rPr>
              <w:t>293-4900</w:t>
            </w:r>
          </w:p>
        </w:tc>
      </w:tr>
    </w:tbl>
    <w:p>
      <w:pPr>
        <w:pStyle w:val="TextBody"/>
        <w:bidi w:val="0"/>
        <w:jc w:val="left"/>
      </w:pPr>
      <w:r>
        <w:t> </w:t>
      </w:r>
    </w:p>
    <w:tbl>
      <w:tblPr>
        <w:tblW w:w="496" w:type="dxa"/>
        <w:jc w:val="left"/>
        <w:tblInd w:w="0" w:type="dxa"/>
        <w:tblLayout w:type="fixed"/>
        <w:tblCellMar>
          <w:top w:w="28" w:type="dxa"/>
          <w:left w:w="28" w:type="dxa"/>
          <w:bottom w:w="28" w:type="dxa"/>
          <w:right w:w="28" w:type="dxa"/>
        </w:tblCellMar>
      </w:tblPr>
      <w:tblGrid>
        <w:gridCol w:w="496"/>
      </w:tblGrid>
      <w:tr>
        <w:tc>
          <w:tcPr>
            <w:tcW w:w="496" w:type="dxa"/>
            <w:tcBorders/>
            <w:vAlign w:val="center"/>
          </w:tcPr>
          <w:p>
            <w:pPr>
              <w:pStyle w:val="TableContents"/>
              <w:bidi w:val="0"/>
              <w:spacing w:before="0" w:after="283"/>
              <w:jc w:val="left"/>
              <w:rPr>
                <w:sz w:val="4"/>
                <w:szCs w:val="4"/>
              </w:rPr>
            </w:pPr>
            <w:r>
              <w:rPr>
                <w:sz w:val="4"/>
                <w:szCs w:val="4"/>
              </w:rPr>
            </w:r>
          </w:p>
        </w:tc>
      </w:tr>
      <w:t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pPr>
      <w: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pPr>
      <w: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pPr>
      <w: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pPr>
      <w: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pPr>
      <w: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pPr>
            <w: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pPr>
            <w: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DSGN</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pPr>
      <w:r>
        <w:t> </w:t>
      </w:r>
    </w:p>
    <w:p>
      <w:pPr>
        <w:pStyle w:val="HorizontalLine"/>
        <w:pBdr>
          <w:bottom w:val="double" w:sz="2" w:space="0" w:color="808080"/>
        </w:pBdr>
        <w:bidi w:val="0"/>
        <w:spacing w:before="0" w:after="283"/>
        <w:jc w:val="left"/>
      </w:pPr>
      <w:r/>
    </w:p>
    <w:p>
      <w:pPr>
        <w:pStyle w:val="TextBody"/>
        <w:bidi w:val="0"/>
        <w:jc w:val="left"/>
      </w:pPr>
      <w:r>
        <w:t> </w:t>
      </w:r>
    </w:p>
    <w:tbl>
      <w:tblPr>
        <w:tblW w:w="5012" w:type="dxa"/>
        <w:jc w:val="left"/>
        <w:tblInd w:w="0" w:type="dxa"/>
        <w:tblLayout w:type="fixed"/>
        <w:tblCellMar>
          <w:top w:w="28" w:type="dxa"/>
          <w:left w:w="28" w:type="dxa"/>
          <w:bottom w:w="28" w:type="dxa"/>
          <w:right w:w="28" w:type="dxa"/>
        </w:tblCellMar>
      </w:tblPr>
      <w:tblGrid>
        <w:gridCol w:w="916"/>
        <w:gridCol w:w="4096"/>
      </w:tblGrid>
      <w:tr>
        <w:tc>
          <w:tcPr>
            <w:tcW w:w="916" w:type="dxa"/>
            <w:tcBorders/>
            <w:vAlign w:val="center"/>
          </w:tcPr>
          <w:p>
            <w:pPr>
              <w:pStyle w:val="TableContents"/>
              <w:bidi w:val="0"/>
              <w:spacing w:before="0" w:after="283"/>
              <w:jc w:val="left"/>
              <w:rPr>
                <w:sz w:val="4"/>
                <w:szCs w:val="4"/>
              </w:rPr>
            </w:pPr>
            <w:r>
              <w:rPr>
                <w:sz w:val="4"/>
                <w:szCs w:val="4"/>
              </w:rPr>
            </w:r>
          </w:p>
        </w:tc>
        <w:tc>
          <w:tcPr>
            <w:tcW w:w="4096" w:type="dxa"/>
            <w:tcBorders/>
            <w:vAlign w:val="center"/>
          </w:tcPr>
          <w:p>
            <w:pPr>
              <w:pStyle w:val="TableContents"/>
              <w:bidi w:val="0"/>
              <w:spacing w:before="0" w:after="283"/>
              <w:jc w:val="left"/>
              <w:rPr>
                <w:sz w:val="4"/>
                <w:szCs w:val="4"/>
              </w:rPr>
            </w:pPr>
            <w:r>
              <w:rPr>
                <w:sz w:val="4"/>
                <w:szCs w:val="4"/>
              </w:rPr>
            </w:r>
          </w:p>
        </w:tc>
      </w:tr>
      <w:t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2.02</w:t>
            </w:r>
          </w:p>
        </w:tc>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Results of Operations and Financial Condition.</w:t>
            </w:r>
          </w:p>
        </w:tc>
      </w:tr>
    </w:tbl>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On November 4, 2026, Design Therapeutics, Inc. issued a press release announcing its financial results for the three and nine months ended September 30, 2026. A copy of the press release is attached hereto as Exhibit 99.1.</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The information in this Item and the exhibit attached hereto are being furnished and shall not be deemed “filed” for the purposes of Section 18 of the Securities Exchange Act of 1934, as amended (the “Exchange Act”), or otherwise subject to the liabilities of that section, nor shall they be deemed incorporated by reference into any filing under the Exchange Act or the Securities Act of 1933, as amended, whether filed before or after the date hereof and regardless of any general incorporation language in such filing.</w:t>
      </w:r>
    </w:p>
    <w:tbl>
      <w:tblPr>
        <w:tblW w:w="3992" w:type="dxa"/>
        <w:jc w:val="left"/>
        <w:tblInd w:w="0" w:type="dxa"/>
        <w:tblLayout w:type="fixed"/>
        <w:tblCellMar>
          <w:top w:w="28" w:type="dxa"/>
          <w:left w:w="28" w:type="dxa"/>
          <w:bottom w:w="28" w:type="dxa"/>
          <w:right w:w="28" w:type="dxa"/>
        </w:tblCellMar>
      </w:tblPr>
      <w:tblGrid>
        <w:gridCol w:w="916"/>
        <w:gridCol w:w="3076"/>
      </w:tblGrid>
      <w:tr>
        <w:tc>
          <w:tcPr>
            <w:tcW w:w="916"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r>
      <w:t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(d) Exhibits</w:t>
      </w:r>
    </w:p>
    <w:tbl>
      <w:tblPr>
        <w:tblW w:w="7828" w:type="dxa"/>
        <w:jc w:val="left"/>
        <w:tblInd w:w="0" w:type="dxa"/>
        <w:tblLayout w:type="fixed"/>
        <w:tblCellMar>
          <w:top w:w="28" w:type="dxa"/>
          <w:left w:w="28" w:type="dxa"/>
          <w:bottom w:w="28" w:type="dxa"/>
          <w:right w:w="28" w:type="dxa"/>
        </w:tblCellMar>
      </w:tblPr>
      <w:tblGrid>
        <w:gridCol w:w="1081"/>
        <w:gridCol w:w="146"/>
        <w:gridCol w:w="6601"/>
      </w:tblGrid>
      <w:t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u w:val="single"/>
              </w:rPr>
              <w:t>Exhibit</w:t>
            </w:r>
            <w:r>
              <w:rPr>
                <w:rFonts w:ascii="Times New Roman" w:hAnsi="Times New Roman"/>
                <w:color w:val="000000"/>
                <w:sz w:val="20"/>
                <w:u w:val="single"/>
              </w:rPr>
              <w:t xml:space="preserve"> </w:t>
            </w:r>
            <w:r>
              <w:rPr>
                <w:rFonts w:ascii="Times New Roman" w:hAnsi="Times New Roman"/>
                <w:b/>
                <w:color w:val="000000"/>
                <w:sz w:val="20"/>
                <w:u w:val="single"/>
              </w:rPr>
              <w:t>No.</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Description</w:t>
            </w:r>
          </w:p>
        </w:tc>
      </w:tr>
      <w:tr>
        <w:tc>
          <w:tcPr>
            <w:tcW w:w="10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pPr>
            <w:r>
              <w:t> </w:t>
            </w:r>
          </w:p>
        </w:tc>
      </w:tr>
      <w:t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pPr>
            <w:hyperlink w:anchor="dsgn-ex99_1.htm">
              <w:r>
                <w:rPr>
                  <w:rStyle w:val="InternetLink"/>
                  <w:rFonts w:ascii="Times New Roman" w:hAnsi="Times New Roman"/>
                  <w:color w:val="0000FF"/>
                  <w:sz w:val="20"/>
                  <w:u w:val="single"/>
                </w:rPr>
                <w:t>Press Release of Design Therapeutics, Inc. dated November 4, 2026</w:t>
              </w:r>
            </w:hyperlink>
          </w:p>
        </w:tc>
      </w:tr>
      <w:t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6904" w:type="dxa"/>
        <w:jc w:val="left"/>
        <w:tblInd w:w="0" w:type="dxa"/>
        <w:tblLayout w:type="fixed"/>
        <w:tblCellMar>
          <w:top w:w="28" w:type="dxa"/>
          <w:left w:w="28" w:type="dxa"/>
          <w:bottom w:w="28" w:type="dxa"/>
          <w:right w:w="28" w:type="dxa"/>
        </w:tblCellMar>
      </w:tblPr>
      <w:tblGrid>
        <w:gridCol w:w="556"/>
        <w:gridCol w:w="1606"/>
        <w:gridCol w:w="451"/>
        <w:gridCol w:w="4291"/>
      </w:tblGrid>
      <w:tr>
        <w:tc>
          <w:tcPr>
            <w:tcW w:w="55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291" w:type="dxa"/>
            <w:tcBorders/>
            <w:vAlign w:val="center"/>
          </w:tcPr>
          <w:p>
            <w:pPr>
              <w:pStyle w:val="TableContents"/>
              <w:bidi w:val="0"/>
              <w:spacing w:before="0" w:after="283"/>
              <w:jc w:val="left"/>
              <w:rPr>
                <w:sz w:val="4"/>
                <w:szCs w:val="4"/>
              </w:rPr>
            </w:pPr>
            <w:r>
              <w:rPr>
                <w:sz w:val="4"/>
                <w:szCs w:val="4"/>
              </w:rPr>
            </w:r>
          </w:p>
        </w:tc>
      </w:tr>
      <w:tr>
        <w:tc>
          <w:tcPr>
            <w:tcW w:w="556" w:type="dxa"/>
            <w:tcBorders/>
            <w:tcMar>
              <w:top w:w="0" w:type="dxa"/>
              <w:left w:w="0" w:type="dxa"/>
              <w:bottom w:w="0" w:type="dxa"/>
              <w:right w:w="0" w:type="dxa"/>
            </w:tcMar>
            <w:vAlign w:val="center"/>
          </w:tcPr>
          <w:p>
            <w:pPr>
              <w:pStyle w:val="TableContents"/>
              <w:bidi w:val="0"/>
              <w:spacing w:before="0" w:after="283"/>
              <w:jc w:val="left"/>
            </w:pPr>
            <w:r>
              <w:t> </w:t>
            </w:r>
          </w:p>
        </w:tc>
        <w:tc>
          <w:tcPr>
            <w:tcW w:w="1606" w:type="dxa"/>
            <w:tcBorders/>
            <w:tcMar>
              <w:top w:w="0" w:type="dxa"/>
              <w:left w:w="0" w:type="dxa"/>
              <w:bottom w:w="0" w:type="dxa"/>
              <w:right w:w="0" w:type="dxa"/>
            </w:tcMar>
            <w:vAlign w:val="center"/>
          </w:tcPr>
          <w:p>
            <w:pPr>
              <w:pStyle w:val="TableContents"/>
              <w:bidi w:val="0"/>
              <w:spacing w:before="0" w:after="283"/>
              <w:jc w:val="left"/>
            </w:pPr>
            <w:r>
              <w:t> </w:t>
            </w:r>
          </w:p>
        </w:tc>
        <w:tc>
          <w:tcPr>
            <w:tcW w:w="451" w:type="dxa"/>
            <w:tcBorders/>
            <w:tcMar>
              <w:top w:w="0" w:type="dxa"/>
              <w:left w:w="0" w:type="dxa"/>
              <w:bottom w:w="0" w:type="dxa"/>
              <w:right w:w="0" w:type="dxa"/>
            </w:tcMar>
            <w:vAlign w:val="center"/>
          </w:tcPr>
          <w:p>
            <w:pPr>
              <w:pStyle w:val="TableContents"/>
              <w:bidi w:val="0"/>
              <w:spacing w:before="0" w:after="283"/>
              <w:jc w:val="left"/>
            </w:pPr>
            <w:r>
              <w:t> </w:t>
            </w:r>
          </w:p>
        </w:tc>
        <w:tc>
          <w:tcPr>
            <w:tcW w:w="429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Design Therapeutics, Inc.</w:t>
            </w:r>
          </w:p>
        </w:tc>
      </w:tr>
      <w:tr>
        <w:tc>
          <w:tcPr>
            <w:tcW w:w="556" w:type="dxa"/>
            <w:tcBorders/>
            <w:tcMar>
              <w:top w:w="0" w:type="dxa"/>
              <w:left w:w="0" w:type="dxa"/>
              <w:bottom w:w="0" w:type="dxa"/>
              <w:right w:w="0" w:type="dxa"/>
            </w:tcMar>
            <w:vAlign w:val="center"/>
          </w:tcPr>
          <w:p>
            <w:pPr>
              <w:pStyle w:val="TableContents"/>
              <w:bidi w:val="0"/>
              <w:spacing w:before="0" w:after="283"/>
              <w:jc w:val="left"/>
            </w:pPr>
            <w:r>
              <w:t> </w:t>
            </w:r>
          </w:p>
        </w:tc>
        <w:tc>
          <w:tcPr>
            <w:tcW w:w="1606" w:type="dxa"/>
            <w:tcBorders/>
            <w:tcMar>
              <w:top w:w="0" w:type="dxa"/>
              <w:left w:w="0" w:type="dxa"/>
              <w:bottom w:w="0" w:type="dxa"/>
              <w:right w:w="0" w:type="dxa"/>
            </w:tcMar>
            <w:vAlign w:val="center"/>
          </w:tcPr>
          <w:p>
            <w:pPr>
              <w:pStyle w:val="TableContents"/>
              <w:bidi w:val="0"/>
              <w:spacing w:before="0" w:after="283"/>
              <w:jc w:val="left"/>
            </w:pPr>
            <w:r>
              <w:t> </w:t>
            </w:r>
          </w:p>
        </w:tc>
        <w:tc>
          <w:tcPr>
            <w:tcW w:w="451" w:type="dxa"/>
            <w:tcBorders/>
            <w:tcMar>
              <w:top w:w="0" w:type="dxa"/>
              <w:left w:w="0" w:type="dxa"/>
              <w:bottom w:w="0" w:type="dxa"/>
              <w:right w:w="0" w:type="dxa"/>
            </w:tcMar>
            <w:vAlign w:val="center"/>
          </w:tcPr>
          <w:p>
            <w:pPr>
              <w:pStyle w:val="TableContents"/>
              <w:bidi w:val="0"/>
              <w:spacing w:before="0" w:after="283"/>
              <w:jc w:val="left"/>
            </w:pPr>
            <w:r>
              <w:t> </w:t>
            </w:r>
          </w:p>
        </w:tc>
        <w:tc>
          <w:tcPr>
            <w:tcW w:w="4291" w:type="dxa"/>
            <w:tcBorders/>
            <w:tcMar>
              <w:top w:w="0" w:type="dxa"/>
              <w:left w:w="0" w:type="dxa"/>
              <w:bottom w:w="0" w:type="dxa"/>
              <w:right w:w="0" w:type="dxa"/>
            </w:tcMar>
            <w:vAlign w:val="center"/>
          </w:tcPr>
          <w:p>
            <w:pPr>
              <w:pStyle w:val="TableContents"/>
              <w:bidi w:val="0"/>
              <w:spacing w:before="0" w:after="283"/>
              <w:jc w:val="left"/>
            </w:pPr>
            <w:r>
              <w:t> </w:t>
            </w:r>
          </w:p>
        </w:tc>
      </w:tr>
      <w:t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60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November 4,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429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Pratik Shah, Ph.D.</w:t>
            </w:r>
          </w:p>
        </w:tc>
      </w:tr>
      <w:tr>
        <w:tc>
          <w:tcPr>
            <w:tcW w:w="556" w:type="dxa"/>
            <w:tcBorders/>
            <w:tcMar>
              <w:top w:w="0" w:type="dxa"/>
              <w:left w:w="0" w:type="dxa"/>
              <w:bottom w:w="0" w:type="dxa"/>
              <w:right w:w="0" w:type="dxa"/>
            </w:tcMar>
            <w:vAlign w:val="center"/>
          </w:tcPr>
          <w:p>
            <w:pPr>
              <w:pStyle w:val="TableContents"/>
              <w:bidi w:val="0"/>
              <w:spacing w:before="0" w:after="283"/>
              <w:jc w:val="left"/>
            </w:pPr>
            <w:r>
              <w:t> </w:t>
            </w:r>
          </w:p>
        </w:tc>
        <w:tc>
          <w:tcPr>
            <w:tcW w:w="1606" w:type="dxa"/>
            <w:tcBorders/>
            <w:tcMar>
              <w:top w:w="0" w:type="dxa"/>
              <w:left w:w="0" w:type="dxa"/>
              <w:bottom w:w="0" w:type="dxa"/>
              <w:right w:w="0" w:type="dxa"/>
            </w:tcMar>
            <w:vAlign w:val="center"/>
          </w:tcPr>
          <w:p>
            <w:pPr>
              <w:pStyle w:val="TableContents"/>
              <w:bidi w:val="0"/>
              <w:spacing w:before="0" w:after="283"/>
              <w:jc w:val="left"/>
            </w:pPr>
            <w:r>
              <w:t> </w:t>
            </w:r>
          </w:p>
        </w:tc>
        <w:tc>
          <w:tcPr>
            <w:tcW w:w="451" w:type="dxa"/>
            <w:tcBorders/>
            <w:tcMar>
              <w:top w:w="0" w:type="dxa"/>
              <w:left w:w="0" w:type="dxa"/>
              <w:bottom w:w="0" w:type="dxa"/>
              <w:right w:w="0" w:type="dxa"/>
            </w:tcMar>
            <w:vAlign w:val="center"/>
          </w:tcPr>
          <w:p>
            <w:pPr>
              <w:pStyle w:val="TableContents"/>
              <w:bidi w:val="0"/>
              <w:spacing w:before="0" w:after="283"/>
              <w:jc w:val="left"/>
            </w:pPr>
            <w:r>
              <w:t> </w:t>
            </w:r>
          </w:p>
        </w:tc>
        <w:tc>
          <w:tcPr>
            <w:tcW w:w="429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Pratik Shah, Ph.D.</w:t>
              <w:br/>
              <w:t>President, Chief Executive Officer and Chairperson</w:t>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120"/>
        <w:jc w:val="right"/>
        <w:rPr>
          <w:rFonts w:ascii="Times New Roman" w:hAnsi="Times New Roman"/>
          <w:b/>
          <w:color w:val="000000"/>
          <w:sz w:val="22"/>
        </w:rPr>
      </w:pPr>
      <w:bookmarkStart w:id="2" w:name="dsgn-ex99_1.htm"/>
      <w:bookmarkStart w:id="3" w:name="ksdsgnex99_1"/>
      <w:bookmarkEnd w:id="2"/>
      <w:bookmarkEnd w:id="3"/>
      <w:r>
        <w:rPr>
          <w:rFonts w:ascii="Times New Roman" w:hAnsi="Times New Roman"/>
          <w:b/>
          <w:color w:val="000000"/>
          <w:sz w:val="22"/>
        </w:rPr>
        <w:t>Exhibit 99.1</w:t>
      </w:r>
      <w:r>
        <w:br w:type="page"/>
      </w:r>
    </w:p>
    <w:p>
      <w:pPr>
        <w:pStyle w:val="TextBody"/>
        <w:bidi w:val="0"/>
        <w:jc w:val="right"/>
      </w:pPr>
      <w:r>
        <w:drawing>
          <wp:inline distT="0" distB="0" distL="0" distR="0">
            <wp:extent cx="1857375" cy="447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57375" cy="447675"/>
                    </a:xfrm>
                    <a:prstGeom prst="rect">
                      <a:avLst/>
                    </a:prstGeom>
                  </pic:spPr>
                </pic:pic>
              </a:graphicData>
            </a:graphic>
          </wp:inline>
        </w:drawing>
      </w:r>
    </w:p>
    <w:p>
      <w:pPr>
        <w:pStyle w:val="TextBody"/>
        <w:bidi w:val="0"/>
        <w:jc w:val="center"/>
      </w:pPr>
      <w:r>
        <w:t> </w:t>
      </w:r>
    </w:p>
    <w:p>
      <w:pPr>
        <w:pStyle w:val="TextBody"/>
        <w:bidi w:val="0"/>
        <w:jc w:val="center"/>
      </w:pPr>
      <w:r>
        <w:t> </w:t>
      </w:r>
    </w:p>
    <w:p>
      <w:pPr>
        <w:pStyle w:val="TextBody"/>
        <w:bidi w:val="0"/>
        <w:jc w:val="center"/>
        <w:rPr>
          <w:rFonts w:ascii="Times New Roman" w:hAnsi="Times New Roman"/>
          <w:b/>
          <w:color w:val="000000"/>
          <w:sz w:val="28"/>
        </w:rPr>
      </w:pPr>
      <w:r>
        <w:rPr>
          <w:rFonts w:ascii="Times New Roman" w:hAnsi="Times New Roman"/>
          <w:b/>
          <w:color w:val="000000"/>
          <w:sz w:val="28"/>
        </w:rPr>
        <w:t>Design Therapeutics Announces Third Quarter 2026 Financial Results and Recent Business Updates</w:t>
      </w:r>
    </w:p>
    <w:p>
      <w:pPr>
        <w:pStyle w:val="TextBody"/>
        <w:bidi w:val="0"/>
        <w:jc w:val="center"/>
        <w:rPr>
          <w:rFonts w:ascii="Times New Roman" w:hAnsi="Times New Roman"/>
          <w:i/>
          <w:color w:val="000000"/>
          <w:sz w:val="24"/>
        </w:rPr>
      </w:pPr>
      <w:r>
        <w:rPr>
          <w:rFonts w:ascii="Times New Roman" w:hAnsi="Times New Roman"/>
          <w:i/>
          <w:color w:val="000000"/>
          <w:sz w:val="24"/>
        </w:rPr>
        <w:t>DT-216P2 Anticipated Milestones: Registrational Plan Update in Q4 2026 and 12-Week RESTORE-FA Data in Q1 2027</w:t>
      </w:r>
    </w:p>
    <w:p>
      <w:pPr>
        <w:pStyle w:val="TextBody"/>
        <w:bidi w:val="0"/>
        <w:jc w:val="center"/>
        <w:rPr>
          <w:rFonts w:ascii="Times New Roman" w:hAnsi="Times New Roman"/>
          <w:i/>
          <w:color w:val="000000"/>
          <w:sz w:val="24"/>
        </w:rPr>
      </w:pPr>
      <w:r>
        <w:rPr>
          <w:rFonts w:ascii="Times New Roman" w:hAnsi="Times New Roman"/>
          <w:i/>
          <w:color w:val="000000"/>
          <w:sz w:val="24"/>
        </w:rPr>
        <w:t>Cash and securities of $208.6 million at quarter-end provide strong financial runway</w:t>
      </w:r>
    </w:p>
    <w:p>
      <w:pPr>
        <w:pStyle w:val="TextBody"/>
        <w:bidi w:val="0"/>
        <w:jc w:val="center"/>
      </w:pPr>
      <w:r>
        <w:t> </w:t>
      </w:r>
    </w:p>
    <w:p>
      <w:pPr>
        <w:pStyle w:val="TextBody"/>
        <w:bidi w:val="0"/>
        <w:spacing w:lineRule="auto" w:line="360"/>
        <w:jc w:val="left"/>
        <w:rPr>
          <w:rFonts w:ascii="Times New Roman" w:hAnsi="Times New Roman"/>
          <w:sz w:val="16"/>
        </w:rPr>
      </w:pPr>
      <w:r>
        <w:rPr>
          <w:rFonts w:ascii="Times New Roman" w:hAnsi="Times New Roman"/>
          <w:b/>
          <w:color w:val="000000"/>
          <w:sz w:val="24"/>
        </w:rPr>
        <w:t>Carlsbad, Calif., November 4, 2026</w:t>
      </w:r>
      <w:r>
        <w:rPr>
          <w:rFonts w:ascii="Times New Roman" w:hAnsi="Times New Roman"/>
          <w:color w:val="000000"/>
          <w:sz w:val="16"/>
        </w:rPr>
        <w:t xml:space="preserve"> </w:t>
      </w:r>
      <w:r>
        <w:rPr>
          <w:rFonts w:ascii="Times New Roman" w:hAnsi="Times New Roman"/>
          <w:b/>
          <w:color w:val="000000"/>
          <w:sz w:val="24"/>
        </w:rPr>
        <w:t xml:space="preserve">- </w:t>
      </w:r>
      <w:r>
        <w:rPr>
          <w:rFonts w:ascii="Times New Roman" w:hAnsi="Times New Roman"/>
          <w:color w:val="000000"/>
          <w:sz w:val="24"/>
        </w:rPr>
        <w:t>Design Therapeutics, Inc. (Nasdaq: DSGN), a clinical-stage biotechnology company developing treatments for serious degenerative genetic diseases, today reported third quarter 2026 financial results and highlighted business updates and upcoming milestones across its GeneTAC</w:t>
      </w:r>
      <w:r>
        <w:rPr>
          <w:rFonts w:ascii="Times New Roman" w:hAnsi="Times New Roman"/>
          <w:color w:val="000000"/>
          <w:sz w:val="16"/>
        </w:rPr>
        <w:t xml:space="preserve">® </w:t>
      </w:r>
      <w:r>
        <w:rPr>
          <w:rFonts w:ascii="Times New Roman" w:hAnsi="Times New Roman"/>
          <w:color w:val="000000"/>
          <w:sz w:val="24"/>
        </w:rPr>
        <w:t>portfolio.</w:t>
      </w:r>
    </w:p>
    <w:p>
      <w:pPr>
        <w:pStyle w:val="TextBody"/>
        <w:bidi w:val="0"/>
        <w:jc w:val="left"/>
      </w:pPr>
      <w:r>
        <w:t> </w:t>
      </w:r>
    </w:p>
    <w:p>
      <w:pPr>
        <w:pStyle w:val="TextBody"/>
        <w:bidi w:val="0"/>
        <w:spacing w:lineRule="auto" w:line="360"/>
        <w:jc w:val="left"/>
      </w:pPr>
      <w:r>
        <w:rPr>
          <w:color w:val="000000"/>
        </w:rPr>
        <w:t>“</w:t>
      </w:r>
      <w:r>
        <w:rPr>
          <w:rFonts w:ascii="Times New Roman" w:hAnsi="Times New Roman"/>
          <w:color w:val="000000"/>
          <w:sz w:val="24"/>
        </w:rPr>
        <w:t>We remain focused on evaluating DT-216P2 over longer treatment durations and preparing for the next stage of clinical development in Friedreich ataxia,” said Pratik Shah, Ph.D., chairperson and chief executive officer of Design Therapeutics. “In DM1, our Phase 1 trial of DT-818 is evaluating an approach designed to selectively reduce transcription of the mutant DMPK allele, targeting the source of toxic RNA. Clinical readouts expected in 2027 will help guide these programs as we pursue our vision for the GeneTAC</w:t>
      </w:r>
      <w:r>
        <w:rPr>
          <w:rFonts w:ascii="Times New Roman" w:hAnsi="Times New Roman"/>
          <w:color w:val="000000"/>
          <w:sz w:val="16"/>
        </w:rPr>
        <w:t xml:space="preserve">® </w:t>
      </w:r>
      <w:r>
        <w:rPr>
          <w:rFonts w:ascii="Times New Roman" w:hAnsi="Times New Roman"/>
          <w:color w:val="000000"/>
          <w:sz w:val="24"/>
        </w:rPr>
        <w:t>platform: to address the underlying causes of serious genetic diseases and deliver meaningful benefits for patients.”</w:t>
      </w:r>
    </w:p>
    <w:p>
      <w:pPr>
        <w:pStyle w:val="TextBody"/>
        <w:bidi w:val="0"/>
        <w:jc w:val="left"/>
      </w:pPr>
      <w:r>
        <w:t> </w:t>
      </w:r>
    </w:p>
    <w:p>
      <w:pPr>
        <w:pStyle w:val="TextBody"/>
        <w:bidi w:val="0"/>
        <w:jc w:val="left"/>
        <w:rPr>
          <w:rFonts w:ascii="Times New Roman" w:hAnsi="Times New Roman"/>
          <w:b/>
          <w:color w:val="000000"/>
          <w:sz w:val="24"/>
        </w:rPr>
      </w:pPr>
      <w:r>
        <w:rPr>
          <w:rFonts w:ascii="Times New Roman" w:hAnsi="Times New Roman"/>
          <w:b/>
          <w:color w:val="000000"/>
          <w:sz w:val="24"/>
        </w:rPr>
        <w:t>Corporate Highlights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sz w:val="24"/>
        </w:rPr>
      </w:pPr>
      <w:r>
        <w:rPr>
          <w:rFonts w:ascii="Times New Roman" w:hAnsi="Times New Roman"/>
          <w:b/>
          <w:color w:val="000000"/>
          <w:sz w:val="24"/>
        </w:rPr>
        <w:t xml:space="preserve">Friedreich ataxia (FA): </w:t>
      </w:r>
      <w:r>
        <w:rPr>
          <w:rFonts w:ascii="Times New Roman" w:hAnsi="Times New Roman"/>
          <w:color w:val="000000"/>
          <w:sz w:val="24"/>
        </w:rPr>
        <w:t>The Phase 1/2 multiple ascending dose RESTORE-FA trial of DT-216P2 is ongoing. Design expects to provide an update on its registrational plans in the fourth quarter of 2026, with data following 12 weeks of treatment expected in the first quarter of 2027.</w:t>
      </w:r>
    </w:p>
    <w:p>
      <w:pPr>
        <w:pStyle w:val="TextBody"/>
        <w:bidi w:val="0"/>
        <w:spacing w:before="120" w:after="283"/>
        <w:jc w:val="left"/>
        <w:rPr>
          <w:color w:val="000000"/>
        </w:rPr>
      </w:pPr>
      <w:r>
        <w:rPr>
          <w:color w:val="000000"/>
        </w:rPr>
        <w:t>•</w:t>
      </w:r>
    </w:p>
    <w:p>
      <w:pPr>
        <w:pStyle w:val="TextBody"/>
        <w:bidi w:val="0"/>
        <w:spacing w:lineRule="auto" w:line="360" w:before="120" w:after="283"/>
        <w:jc w:val="left"/>
        <w:rPr>
          <w:rFonts w:ascii="Times New Roman" w:hAnsi="Times New Roman"/>
          <w:sz w:val="16"/>
        </w:rPr>
      </w:pPr>
      <w:r>
        <w:rPr>
          <w:rFonts w:ascii="Times New Roman" w:hAnsi="Times New Roman"/>
          <w:b/>
          <w:color w:val="000000"/>
          <w:sz w:val="24"/>
        </w:rPr>
        <w:t xml:space="preserve">Myotonic Dystrophy Type-1 (DM1): </w:t>
      </w:r>
      <w:r>
        <w:rPr>
          <w:rFonts w:ascii="Times New Roman" w:hAnsi="Times New Roman"/>
          <w:color w:val="000000"/>
          <w:sz w:val="24"/>
        </w:rPr>
        <w:t>The Phase 1 multiple-ascending dose (MAD) trial of DT-818, a GeneTAC</w:t>
      </w:r>
      <w:r>
        <w:rPr>
          <w:rFonts w:ascii="Times New Roman" w:hAnsi="Times New Roman"/>
          <w:color w:val="000000"/>
          <w:sz w:val="16"/>
        </w:rPr>
        <w:t xml:space="preserve">® </w:t>
      </w:r>
      <w:r>
        <w:rPr>
          <w:rFonts w:ascii="Times New Roman" w:hAnsi="Times New Roman"/>
          <w:color w:val="000000"/>
          <w:sz w:val="24"/>
        </w:rPr>
        <w:t>small molecule designed to selectively reduce transcription of the mutant DMPK allele in patients with DM1, is ongoing. Design anticipates reporting data from this trial in 2027.</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4"/>
        </w:rPr>
      </w:pPr>
      <w:r>
        <w:rPr>
          <w:rFonts w:ascii="Times New Roman" w:hAnsi="Times New Roman"/>
          <w:b/>
          <w:color w:val="000000"/>
          <w:sz w:val="24"/>
        </w:rPr>
        <w:t xml:space="preserve">Fuchs Endothelial Corneal Dystrophy (FECD): </w:t>
      </w:r>
      <w:r>
        <w:rPr>
          <w:rFonts w:ascii="Times New Roman" w:hAnsi="Times New Roman"/>
          <w:color w:val="000000"/>
          <w:sz w:val="24"/>
        </w:rPr>
        <w:t>A Phase 2 biomarker trial of DT-168 is ongoing to evaluate safety, tolerability and corneal endothelium biomarkers in FECD patients who are scheduled for corneal transplant surgery, with data expected in 2027.</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4"/>
        </w:rPr>
      </w:pPr>
      <w:r>
        <w:rPr>
          <w:rFonts w:ascii="Times New Roman" w:hAnsi="Times New Roman"/>
          <w:b/>
          <w:color w:val="000000"/>
          <w:sz w:val="24"/>
        </w:rPr>
        <w:t xml:space="preserve">Huntington’s disease (HD): </w:t>
      </w:r>
      <w:r>
        <w:rPr>
          <w:rFonts w:ascii="Times New Roman" w:hAnsi="Times New Roman"/>
          <w:color w:val="000000"/>
          <w:sz w:val="24"/>
        </w:rPr>
        <w:t>Design continues to advance preclinical characterization of several candidate molecules for its Huntington’s disease program.</w:t>
      </w:r>
    </w:p>
    <w:p>
      <w:pPr>
        <w:pStyle w:val="TextBody"/>
        <w:bidi w:val="0"/>
        <w:jc w:val="left"/>
      </w:pPr>
      <w:r>
        <w:t> </w:t>
      </w:r>
    </w:p>
    <w:p>
      <w:pPr>
        <w:pStyle w:val="TextBody"/>
        <w:bidi w:val="0"/>
        <w:spacing w:before="120" w:after="283"/>
        <w:jc w:val="left"/>
        <w:rPr>
          <w:rFonts w:ascii="Times New Roman" w:hAnsi="Times New Roman"/>
          <w:b/>
          <w:color w:val="000000"/>
          <w:sz w:val="24"/>
        </w:rPr>
      </w:pPr>
      <w:r>
        <w:rPr>
          <w:rFonts w:ascii="Times New Roman" w:hAnsi="Times New Roman"/>
          <w:b/>
          <w:color w:val="000000"/>
          <w:sz w:val="24"/>
        </w:rPr>
        <w:t>Third Quarter 2026 Financial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4"/>
        </w:rPr>
      </w:pPr>
      <w:r>
        <w:rPr>
          <w:rFonts w:ascii="Times New Roman" w:hAnsi="Times New Roman"/>
          <w:b/>
          <w:color w:val="000000"/>
          <w:sz w:val="24"/>
        </w:rPr>
        <w:t>R&amp;D Expenses:</w:t>
      </w:r>
      <w:r>
        <w:rPr>
          <w:rFonts w:ascii="Times New Roman" w:hAnsi="Times New Roman"/>
          <w:color w:val="000000"/>
          <w:sz w:val="24"/>
        </w:rPr>
        <w:t xml:space="preserve"> Research and development (R&amp;D) expenses were $16.9 million for the quarter ended September 30, 2026.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4"/>
        </w:rPr>
      </w:pPr>
      <w:r>
        <w:rPr>
          <w:rFonts w:ascii="Times New Roman" w:hAnsi="Times New Roman"/>
          <w:b/>
          <w:color w:val="000000"/>
          <w:sz w:val="24"/>
        </w:rPr>
        <w:t>G&amp;A Expenses:</w:t>
      </w:r>
      <w:r>
        <w:rPr>
          <w:rFonts w:ascii="Times New Roman" w:hAnsi="Times New Roman"/>
          <w:color w:val="000000"/>
          <w:sz w:val="24"/>
        </w:rPr>
        <w:t xml:space="preserve"> General and administrative (G&amp;A) expenses were $5.3 million for the quarter ended September 30, 2026.</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4"/>
        </w:rPr>
      </w:pPr>
      <w:r>
        <w:rPr>
          <w:rFonts w:ascii="Times New Roman" w:hAnsi="Times New Roman"/>
          <w:b/>
          <w:color w:val="000000"/>
          <w:sz w:val="24"/>
        </w:rPr>
        <w:t>Net Loss:</w:t>
      </w:r>
      <w:r>
        <w:rPr>
          <w:rFonts w:ascii="Times New Roman" w:hAnsi="Times New Roman"/>
          <w:color w:val="000000"/>
          <w:sz w:val="24"/>
        </w:rPr>
        <w:t xml:space="preserve"> Net loss was $20.3 million for the quarter ended September 30, 2026.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4"/>
        </w:rPr>
      </w:pPr>
      <w:r>
        <w:rPr>
          <w:rFonts w:ascii="Times New Roman" w:hAnsi="Times New Roman"/>
          <w:b/>
          <w:color w:val="000000"/>
          <w:sz w:val="24"/>
        </w:rPr>
        <w:t>Cash Position:</w:t>
      </w:r>
      <w:r>
        <w:rPr>
          <w:rFonts w:ascii="Times New Roman" w:hAnsi="Times New Roman"/>
          <w:color w:val="000000"/>
          <w:sz w:val="24"/>
        </w:rPr>
        <w:t xml:space="preserve"> Cash, cash equivalents and investment securities were $208.6 million as of September 30, 2026.</w:t>
      </w:r>
    </w:p>
    <w:p>
      <w:pPr>
        <w:pStyle w:val="TextBody"/>
        <w:bidi w:val="0"/>
        <w:spacing w:before="240" w:after="283"/>
        <w:jc w:val="left"/>
      </w:pPr>
      <w:r>
        <w:t> </w:t>
      </w:r>
    </w:p>
    <w:p>
      <w:pPr>
        <w:pStyle w:val="TextBody"/>
        <w:bidi w:val="0"/>
        <w:jc w:val="left"/>
        <w:rPr>
          <w:rFonts w:ascii="Times New Roman" w:hAnsi="Times New Roman"/>
          <w:b/>
          <w:color w:val="000000"/>
          <w:sz w:val="24"/>
        </w:rPr>
      </w:pPr>
      <w:r>
        <w:rPr>
          <w:rFonts w:ascii="Times New Roman" w:hAnsi="Times New Roman"/>
          <w:b/>
          <w:color w:val="000000"/>
          <w:sz w:val="24"/>
        </w:rPr>
        <w:t>About Design Therapeutics</w:t>
      </w:r>
    </w:p>
    <w:p>
      <w:pPr>
        <w:pStyle w:val="TextBody"/>
        <w:bidi w:val="0"/>
        <w:spacing w:lineRule="auto" w:line="360"/>
        <w:jc w:val="left"/>
        <w:rPr>
          <w:rFonts w:ascii="Times New Roman" w:hAnsi="Times New Roman"/>
          <w:sz w:val="16"/>
        </w:rPr>
      </w:pPr>
      <w:r>
        <w:rPr>
          <w:rFonts w:ascii="Times New Roman" w:hAnsi="Times New Roman"/>
          <w:color w:val="000000"/>
          <w:sz w:val="24"/>
        </w:rPr>
        <w:t>Design Therapeutics is a clinical-stage biotechnology company developing a new class of therapies based on its platform of GeneTAC</w:t>
      </w:r>
      <w:r>
        <w:rPr>
          <w:rFonts w:ascii="Times New Roman" w:hAnsi="Times New Roman"/>
          <w:color w:val="000000"/>
          <w:sz w:val="16"/>
        </w:rPr>
        <w:t xml:space="preserve">® </w:t>
      </w:r>
      <w:r>
        <w:rPr>
          <w:rFonts w:ascii="Times New Roman" w:hAnsi="Times New Roman"/>
          <w:color w:val="000000"/>
          <w:sz w:val="24"/>
        </w:rPr>
        <w:t>gene targeted chimera small molecules. The company’s GeneTAC</w:t>
      </w:r>
      <w:r>
        <w:rPr>
          <w:rFonts w:ascii="Times New Roman" w:hAnsi="Times New Roman"/>
          <w:color w:val="000000"/>
          <w:sz w:val="16"/>
        </w:rPr>
        <w:t xml:space="preserve">® </w:t>
      </w:r>
      <w:r>
        <w:rPr>
          <w:rFonts w:ascii="Times New Roman" w:hAnsi="Times New Roman"/>
          <w:color w:val="000000"/>
          <w:sz w:val="24"/>
        </w:rPr>
        <w:t>molecules are designed to either dial up or dial down the expression of a specific disease-causing gene to address the underlying cause of disease. In addition to its clinical-stage GeneTAC</w:t>
      </w:r>
      <w:r>
        <w:rPr>
          <w:rFonts w:ascii="Times New Roman" w:hAnsi="Times New Roman"/>
          <w:color w:val="000000"/>
          <w:sz w:val="16"/>
        </w:rPr>
        <w:t xml:space="preserve">® </w:t>
      </w:r>
      <w:r>
        <w:rPr>
          <w:rFonts w:ascii="Times New Roman" w:hAnsi="Times New Roman"/>
          <w:color w:val="000000"/>
          <w:sz w:val="24"/>
        </w:rPr>
        <w:t>programs, DT-216P2, in development for patients with Friedreich ataxia, DT-168, for Fuchs endothelial corneal dystrophy, and DT-818, for myotonic dystrophy type-1, the company is advancing a program in Huntington’s disease. Discovery efforts are underway for multiple genomic medicines. For more information, please visit designtx.com.</w:t>
      </w:r>
    </w:p>
    <w:p>
      <w:pPr>
        <w:pStyle w:val="TextBody"/>
        <w:bidi w:val="0"/>
        <w:jc w:val="left"/>
      </w:pPr>
      <w:r>
        <w:t> </w:t>
      </w:r>
    </w:p>
    <w:p>
      <w:pPr>
        <w:pStyle w:val="TextBody"/>
        <w:bidi w:val="0"/>
        <w:jc w:val="left"/>
        <w:rPr>
          <w:rFonts w:ascii="Times New Roman" w:hAnsi="Times New Roman"/>
          <w:b/>
          <w:color w:val="000000"/>
          <w:sz w:val="24"/>
        </w:rPr>
      </w:pPr>
      <w:r>
        <w:rPr>
          <w:rFonts w:ascii="Times New Roman" w:hAnsi="Times New Roman"/>
          <w:b/>
          <w:color w:val="000000"/>
          <w:sz w:val="24"/>
        </w:rPr>
        <w:t>Forward-Looking Statements</w:t>
      </w:r>
    </w:p>
    <w:p>
      <w:pPr>
        <w:pStyle w:val="TextBody"/>
        <w:bidi w:val="0"/>
        <w:spacing w:lineRule="auto" w:line="360"/>
        <w:jc w:val="left"/>
        <w:rPr>
          <w:rFonts w:ascii="Times New Roman" w:hAnsi="Times New Roman"/>
          <w:sz w:val="16"/>
        </w:rPr>
      </w:pPr>
      <w:r>
        <w:rPr>
          <w:rFonts w:ascii="Times New Roman" w:hAnsi="Times New Roman"/>
          <w:color w:val="000000"/>
          <w:sz w:val="24"/>
        </w:rPr>
        <w:t>Statements in this press release that are not purely historical in nature are “forward-looking statements” within the meaning of the Private Securities Litigation Reform Act of 1995. These statements include, but are not limited to: the progression or completion of certain development activities; the initiation and progression of studies and clinical trials for DT-216P2, DT-168 and DT-818 and the timing thereof; the anticipated timing for data readouts and other program updates; Design's ability to advance the GeneTAC</w:t>
      </w:r>
      <w:r>
        <w:rPr>
          <w:rFonts w:ascii="Times New Roman" w:hAnsi="Times New Roman"/>
          <w:color w:val="000000"/>
          <w:sz w:val="16"/>
        </w:rPr>
        <w:t xml:space="preserve">® </w:t>
      </w:r>
      <w:r>
        <w:rPr>
          <w:rFonts w:ascii="Times New Roman" w:hAnsi="Times New Roman"/>
          <w:color w:val="000000"/>
          <w:sz w:val="24"/>
        </w:rPr>
        <w:t>platform; Design’s estimated cash runway and the sufficiency of its resources to support its planned operations; and the capabilities and potential advantages of Design’s pipeline of GeneTAC</w:t>
      </w:r>
      <w:r>
        <w:rPr>
          <w:rFonts w:ascii="Times New Roman" w:hAnsi="Times New Roman"/>
          <w:color w:val="000000"/>
          <w:sz w:val="16"/>
        </w:rPr>
        <w:t xml:space="preserve">® </w:t>
      </w:r>
      <w:r>
        <w:rPr>
          <w:rFonts w:ascii="Times New Roman" w:hAnsi="Times New Roman"/>
          <w:color w:val="000000"/>
          <w:sz w:val="24"/>
        </w:rPr>
        <w:t>molecules. Because such statements are subject to risks and uncertainties, actual results may differ materially from those expressed or implied by such forward-looking statements. Words such as “believes,” “designed to,” “anticipates,” “capable of,” “plans to,” “expects,” “estimate,” “intends,” “will,” “potential” and similar expressions are intended to identify forward-looking statements. These forward-looking statements are based upon Design’s current expectations and involve assumptions that may never materialize or may prove to be incorrect. Actual results and the timing of events could differ materially from those anticipated in such forward-looking statements as a result of various risks and uncertainties, which include, without limitation, risks and uncertainties associated with: the data we observe from early clinical and nonclinical studies may impact our clinical development plans; pursuing a biomarker-driven clinical development strategy carries increased risks as there are currently a limited number of approved biomarker-specific therapies; nonclinical development activities and results of nonclinical studies; conducting a clinical trial and patient enrollment and retention, which are affected by many factors, and any difficulties or delays encountered with such clinical trial or patient enrollment or retention may delay or otherwise adversely affect Design’s clinical development plans; the process of discovering and developing therapies that are safe and effective for use as human therapeutics and operating as a development stage company; undesirable side effects or other undesirable properties, which could cause Design or regulatory authorities to suspend or discontinue clinical trials and thereby delay or prevent Design’s product candidates’ development or regulatory approval; Design’s ability to develop, initiate or complete nonclinical studies and clinical trials for its product candidates on the timeframe anticipated, or at all; whether promising early research or clinical trials will result in demonstrated safety and/or efficacy in later clinical trials; changes in Design’s plans to develop its product candidates; reliance on third parties to successfully conduct clinical trials and nonclinical studies; competitive products, which may make any products we develop or seek to develop obsolete or noncompetitive; Design’s reliance on third parties, including contract manufacturers and contract research organizations; interactions with regulatory authorities; Design’s ability to raise any additional funding it will need to continue to pursue its business and product development plans; regulatory developments in the United States and foreign countries;</w:t>
      </w:r>
      <w:r>
        <w:rPr>
          <w:rFonts w:ascii="Times New Roman" w:hAnsi="Times New Roman"/>
          <w:color w:val="000000"/>
          <w:sz w:val="16"/>
        </w:rPr>
        <w:t xml:space="preserve">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color w:val="000000"/>
          <w:sz w:val="24"/>
        </w:rPr>
      </w:pPr>
      <w:r>
        <w:rPr>
          <w:rFonts w:ascii="Times New Roman" w:hAnsi="Times New Roman"/>
          <w:color w:val="000000"/>
          <w:sz w:val="24"/>
        </w:rPr>
        <w:t>Design’s ability to obtain and maintain intellectual property protection for its product candidates; and Design’s ability to recruit and retain key scientific or management personnel. For a more detailed discussion of these and other factors, please refer to Design’s filings with the Securities and Exchange Commission (“SEC”), including under the “Risk Factors” heading of Design’s Quarterly Report on Form 10-Q for the quarter ended June 30, 2026, as filed with the SEC on August 3, 2026, and under the “Risk Factors” heading of Design’s Quarterly Report on Form 10-Q for the quarter ended September 30, 2026, being filed with the SEC later today. You are cautioned not to place undue reliance on these forward-looking statements, which speak only as of the date hereof. All forward-looking statements are qualified in their entirety by this cautionary statement and Design undertakes no obligation to revise or update this press release to reflect events or circumstances after the date hereof, except as required by law.</w:t>
      </w:r>
    </w:p>
    <w:p>
      <w:pPr>
        <w:pStyle w:val="TextBody"/>
        <w:bidi w:val="0"/>
        <w:jc w:val="center"/>
        <w:rPr>
          <w:rFonts w:ascii="Times New Roman" w:hAnsi="Times New Roman"/>
          <w:color w:val="000000"/>
          <w:sz w:val="24"/>
        </w:rPr>
      </w:pPr>
      <w:r>
        <w:rPr>
          <w:rFonts w:ascii="Times New Roman" w:hAnsi="Times New Roman"/>
          <w:color w:val="000000"/>
          <w:sz w:val="24"/>
        </w:rPr>
        <w:t># # #</w:t>
      </w:r>
    </w:p>
    <w:p>
      <w:pPr>
        <w:pStyle w:val="TextBody"/>
        <w:bidi w:val="0"/>
        <w:jc w:val="left"/>
      </w:pPr>
      <w:r>
        <w:t> </w:t>
      </w:r>
    </w:p>
    <w:p>
      <w:pPr>
        <w:pStyle w:val="TextBody"/>
        <w:bidi w:val="0"/>
        <w:jc w:val="left"/>
      </w:pPr>
      <w:r>
        <w:t> </w:t>
      </w:r>
    </w:p>
    <w:p>
      <w:pPr>
        <w:pStyle w:val="TextBody"/>
        <w:bidi w:val="0"/>
        <w:jc w:val="left"/>
        <w:rPr>
          <w:rFonts w:ascii="Times New Roman" w:hAnsi="Times New Roman"/>
          <w:b/>
          <w:color w:val="000000"/>
          <w:sz w:val="24"/>
        </w:rPr>
      </w:pPr>
      <w:r>
        <w:rPr>
          <w:rFonts w:ascii="Times New Roman" w:hAnsi="Times New Roman"/>
          <w:b/>
          <w:color w:val="000000"/>
          <w:sz w:val="24"/>
        </w:rPr>
        <w:t>Contact:</w:t>
      </w:r>
    </w:p>
    <w:p>
      <w:pPr>
        <w:pStyle w:val="TextBody"/>
        <w:bidi w:val="0"/>
        <w:jc w:val="left"/>
        <w:rPr>
          <w:rFonts w:ascii="Times New Roman" w:hAnsi="Times New Roman"/>
          <w:color w:val="000000"/>
          <w:sz w:val="24"/>
        </w:rPr>
      </w:pPr>
      <w:r>
        <w:rPr>
          <w:rFonts w:ascii="Times New Roman" w:hAnsi="Times New Roman"/>
          <w:color w:val="000000"/>
          <w:sz w:val="24"/>
        </w:rPr>
        <w:t>Renee Leck, THRUST</w:t>
      </w:r>
    </w:p>
    <w:p>
      <w:pPr>
        <w:pStyle w:val="TextBody"/>
        <w:bidi w:val="0"/>
        <w:jc w:val="left"/>
        <w:rPr>
          <w:rFonts w:ascii="Times New Roman" w:hAnsi="Times New Roman"/>
          <w:color w:val="0000FF"/>
          <w:sz w:val="24"/>
          <w:u w:val="single"/>
        </w:rPr>
      </w:pPr>
      <w:r>
        <w:rPr>
          <w:rFonts w:ascii="Times New Roman" w:hAnsi="Times New Roman"/>
          <w:color w:val="0000FF"/>
          <w:sz w:val="24"/>
          <w:u w:val="single"/>
        </w:rPr>
        <w:t>renee@thrustsc.com</w:t>
      </w:r>
    </w:p>
    <w:p>
      <w:pPr>
        <w:pStyle w:val="TextBody"/>
        <w:bidi w:val="0"/>
        <w:jc w:val="left"/>
      </w:pPr>
      <w:r>
        <w:t> </w:t>
      </w:r>
    </w:p>
    <w:p>
      <w:pPr>
        <w:pStyle w:val="TextBody"/>
        <w:bidi w:val="0"/>
        <w:jc w:val="left"/>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center"/>
        <w:rPr>
          <w:rFonts w:ascii="Times New Roman" w:hAnsi="Times New Roman"/>
          <w:b/>
          <w:color w:val="000000"/>
          <w:sz w:val="22"/>
        </w:rPr>
      </w:pPr>
      <w:r>
        <w:rPr>
          <w:rFonts w:ascii="Times New Roman" w:hAnsi="Times New Roman"/>
          <w:b/>
          <w:color w:val="000000"/>
          <w:sz w:val="22"/>
        </w:rPr>
        <w:t>DESIGN THERAPEUTICS, INC.</w:t>
      </w:r>
    </w:p>
    <w:p>
      <w:pPr>
        <w:pStyle w:val="TextBody"/>
        <w:bidi w:val="0"/>
        <w:jc w:val="center"/>
        <w:rPr>
          <w:rFonts w:ascii="Times New Roman" w:hAnsi="Times New Roman"/>
          <w:b/>
          <w:color w:val="000000"/>
          <w:sz w:val="22"/>
        </w:rPr>
      </w:pPr>
      <w:r>
        <w:rPr>
          <w:rFonts w:ascii="Times New Roman" w:hAnsi="Times New Roman"/>
          <w:b/>
          <w:color w:val="000000"/>
          <w:sz w:val="22"/>
        </w:rPr>
        <w:t>CONDENSED STATEMENTS OF OPERATIONS</w:t>
      </w:r>
    </w:p>
    <w:p>
      <w:pPr>
        <w:pStyle w:val="TextBody"/>
        <w:bidi w:val="0"/>
        <w:spacing w:before="120" w:after="283"/>
        <w:jc w:val="center"/>
        <w:rPr>
          <w:rFonts w:ascii="Times New Roman" w:hAnsi="Times New Roman"/>
          <w:b/>
          <w:color w:val="000000"/>
          <w:sz w:val="22"/>
        </w:rPr>
      </w:pPr>
      <w:r>
        <w:rPr>
          <w:rFonts w:ascii="Times New Roman" w:hAnsi="Times New Roman"/>
          <w:b/>
          <w:color w:val="000000"/>
          <w:sz w:val="22"/>
        </w:rPr>
        <w:t>(in thousands, except share and per share data)</w:t>
      </w:r>
    </w:p>
    <w:p>
      <w:pPr>
        <w:pStyle w:val="TextBody"/>
        <w:bidi w:val="0"/>
        <w:jc w:val="center"/>
      </w:pPr>
      <w:r>
        <w:t> </w:t>
      </w:r>
    </w:p>
    <w:tbl>
      <w:tblPr>
        <w:tblW w:w="10205" w:type="dxa"/>
        <w:jc w:val="left"/>
        <w:tblInd w:w="0" w:type="dxa"/>
        <w:tblLayout w:type="fixed"/>
        <w:tblCellMar>
          <w:top w:w="28" w:type="dxa"/>
          <w:left w:w="28" w:type="dxa"/>
          <w:bottom w:w="28" w:type="dxa"/>
          <w:right w:w="28" w:type="dxa"/>
        </w:tblCellMar>
      </w:tblPr>
      <w:tblGrid>
        <w:gridCol w:w="3724"/>
        <w:gridCol w:w="146"/>
        <w:gridCol w:w="211"/>
        <w:gridCol w:w="1036"/>
        <w:gridCol w:w="166"/>
        <w:gridCol w:w="146"/>
        <w:gridCol w:w="211"/>
        <w:gridCol w:w="1036"/>
        <w:gridCol w:w="166"/>
        <w:gridCol w:w="146"/>
        <w:gridCol w:w="211"/>
        <w:gridCol w:w="1036"/>
        <w:gridCol w:w="166"/>
        <w:gridCol w:w="146"/>
        <w:gridCol w:w="211"/>
        <w:gridCol w:w="1036"/>
        <w:gridCol w:w="411"/>
      </w:tblGrid>
      <w:tr>
        <w:tc>
          <w:tcPr>
            <w:tcW w:w="3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c>
          <w:tcPr>
            <w:tcW w:w="372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72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72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92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(unaudited)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45,704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61,298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(61,298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(53,795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72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of common stock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63,035,529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56,950,999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62,330,974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56,856,779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center"/>
        <w:rPr>
          <w:rFonts w:ascii="Times New Roman" w:hAnsi="Times New Roman"/>
          <w:b/>
          <w:color w:val="000000"/>
          <w:sz w:val="22"/>
        </w:rPr>
      </w:pPr>
      <w:r>
        <w:rPr>
          <w:rFonts w:ascii="Times New Roman" w:hAnsi="Times New Roman"/>
          <w:b/>
          <w:color w:val="000000"/>
          <w:sz w:val="22"/>
        </w:rPr>
        <w:t>DESIGN THERAPEUTICS, INC.</w:t>
      </w:r>
    </w:p>
    <w:p>
      <w:pPr>
        <w:pStyle w:val="TextBody"/>
        <w:bidi w:val="0"/>
        <w:jc w:val="center"/>
        <w:rPr>
          <w:rFonts w:ascii="Times New Roman" w:hAnsi="Times New Roman"/>
          <w:b/>
          <w:color w:val="000000"/>
          <w:sz w:val="22"/>
        </w:rPr>
      </w:pPr>
      <w:r>
        <w:rPr>
          <w:rFonts w:ascii="Times New Roman" w:hAnsi="Times New Roman"/>
          <w:b/>
          <w:color w:val="000000"/>
          <w:sz w:val="22"/>
        </w:rPr>
        <w:t>CONDENSED BALANCE SHEETS</w:t>
      </w:r>
    </w:p>
    <w:p>
      <w:pPr>
        <w:pStyle w:val="TextBody"/>
        <w:bidi w:val="0"/>
        <w:spacing w:before="120" w:after="283"/>
        <w:jc w:val="center"/>
        <w:rPr>
          <w:rFonts w:ascii="Times New Roman" w:hAnsi="Times New Roman"/>
          <w:b/>
          <w:color w:val="000000"/>
          <w:sz w:val="22"/>
        </w:rPr>
      </w:pPr>
      <w:r>
        <w:rPr>
          <w:rFonts w:ascii="Times New Roman" w:hAnsi="Times New Roman"/>
          <w:b/>
          <w:color w:val="000000"/>
          <w:sz w:val="22"/>
        </w:rPr>
        <w:t>(in thousands)</w:t>
      </w:r>
    </w:p>
    <w:tbl>
      <w:tblPr>
        <w:tblW w:w="7330" w:type="dxa"/>
        <w:jc w:val="left"/>
        <w:tblInd w:w="0" w:type="dxa"/>
        <w:tblLayout w:type="fixed"/>
        <w:tblCellMar>
          <w:top w:w="28" w:type="dxa"/>
          <w:left w:w="28" w:type="dxa"/>
          <w:bottom w:w="28" w:type="dxa"/>
          <w:right w:w="28" w:type="dxa"/>
        </w:tblCellMar>
      </w:tblPr>
      <w:tblGrid>
        <w:gridCol w:w="4266"/>
        <w:gridCol w:w="146"/>
        <w:gridCol w:w="242"/>
        <w:gridCol w:w="898"/>
        <w:gridCol w:w="146"/>
        <w:gridCol w:w="146"/>
        <w:gridCol w:w="233"/>
        <w:gridCol w:w="862"/>
        <w:gridCol w:w="391"/>
      </w:tblGrid>
      <w:tr>
        <w:tc>
          <w:tcPr>
            <w:tcW w:w="4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42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42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2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cash equivalents and investment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219,845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223,784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216,808</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226,203</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pPr>
            <w:r>
              <w:t> </w:t>
            </w:r>
          </w:p>
        </w:tc>
      </w:tr>
      <w:t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212,503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216,808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226,203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pPr>
      <w:r>
        <w:t> </w:t>
      </w:r>
    </w:p>
    <w:p>
      <w:pPr>
        <w:pStyle w:val="HorizontalLine"/>
        <w:pBdr>
          <w:bottom w:val="double" w:sz="2" w:space="0" w:color="808080"/>
        </w:pBdr>
        <w:bidi w:val="0"/>
        <w:spacing w:before="0" w:after="283"/>
        <w:jc w:val="left"/>
      </w:p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1891</Words>
  <Characters>10994</Characters>
  <CharactersWithSpaces>12955</CharactersWithSpaces>
  <Paragraphs>515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